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20D25" w14:textId="5104A9AA" w:rsidR="007304CF" w:rsidRPr="007A48B6" w:rsidRDefault="004E721E" w:rsidP="007A48B6">
      <w:pPr>
        <w:spacing w:line="360" w:lineRule="auto"/>
        <w:ind w:hanging="270"/>
        <w:rPr>
          <w:rFonts w:ascii="Georgia" w:hAnsi="Georgia"/>
          <w:b/>
          <w:bCs/>
          <w:color w:val="009CDE"/>
          <w:sz w:val="28"/>
          <w:szCs w:val="36"/>
        </w:rPr>
      </w:pPr>
      <w:r>
        <w:rPr>
          <w:rFonts w:ascii="Georgia" w:hAnsi="Georgia"/>
          <w:b/>
          <w:bCs/>
          <w:color w:val="009CDE"/>
          <w:sz w:val="28"/>
          <w:szCs w:val="36"/>
        </w:rPr>
        <w:t>10-Year Capital Market Forecasts (2026-2035)</w:t>
      </w:r>
    </w:p>
    <w:p w14:paraId="6C63598E" w14:textId="40DB5C7A" w:rsidR="007304CF" w:rsidRDefault="004E721E" w:rsidP="007304CF">
      <w:pPr>
        <w:spacing w:line="360" w:lineRule="auto"/>
        <w:ind w:left="-288"/>
        <w:rPr>
          <w:rFonts w:ascii="Georgia" w:hAnsi="Georgia" w:cs="Arial"/>
          <w:color w:val="002855"/>
          <w:sz w:val="20"/>
          <w:szCs w:val="20"/>
        </w:rPr>
      </w:pPr>
      <w:r w:rsidRPr="004E721E">
        <w:rPr>
          <w:rFonts w:ascii="Georgia" w:hAnsi="Georgia"/>
          <w:i/>
          <w:iCs/>
          <w:sz w:val="20"/>
          <w:szCs w:val="20"/>
        </w:rPr>
        <w:t>Asset Class Returns, Standard Deviations, Correlations and Tail Assumptions</w:t>
      </w:r>
      <w:r w:rsidR="00C83B4C" w:rsidRPr="00386484">
        <w:rPr>
          <w:rFonts w:ascii="Georgia" w:hAnsi="Georgia" w:cs="Arial"/>
          <w:color w:val="002855"/>
          <w:sz w:val="20"/>
          <w:szCs w:val="20"/>
        </w:rPr>
        <w:br/>
      </w:r>
      <w:r>
        <w:rPr>
          <w:rFonts w:ascii="Georgia" w:hAnsi="Georgia" w:cs="Arial"/>
          <w:color w:val="002855"/>
          <w:sz w:val="20"/>
          <w:szCs w:val="20"/>
        </w:rPr>
        <w:t xml:space="preserve">January </w:t>
      </w:r>
      <w:r w:rsidR="00C83B4C" w:rsidRPr="004E721E">
        <w:rPr>
          <w:rFonts w:ascii="Georgia" w:hAnsi="Georgia" w:cs="Arial"/>
          <w:color w:val="002855"/>
          <w:sz w:val="20"/>
          <w:szCs w:val="20"/>
        </w:rPr>
        <w:t>202</w:t>
      </w:r>
      <w:r w:rsidR="008D2760">
        <w:rPr>
          <w:rFonts w:ascii="Georgia" w:hAnsi="Georgia" w:cs="Arial"/>
          <w:color w:val="002855"/>
          <w:sz w:val="20"/>
          <w:szCs w:val="20"/>
        </w:rPr>
        <w:t>6</w:t>
      </w:r>
    </w:p>
    <w:p w14:paraId="3C431250" w14:textId="77777777" w:rsidR="00980034" w:rsidRPr="00980034" w:rsidRDefault="00980034" w:rsidP="007304CF">
      <w:pPr>
        <w:spacing w:line="360" w:lineRule="auto"/>
        <w:ind w:left="-288"/>
        <w:rPr>
          <w:rFonts w:ascii="Georgia" w:hAnsi="Georgia" w:cs="Arial"/>
          <w:color w:val="000000" w:themeColor="text1"/>
          <w:sz w:val="20"/>
          <w:szCs w:val="20"/>
        </w:rPr>
      </w:pPr>
    </w:p>
    <w:p w14:paraId="7E62B577" w14:textId="3359DD64" w:rsidR="00825D1B" w:rsidRPr="007A48B6" w:rsidRDefault="004E721E" w:rsidP="00825D1B">
      <w:pPr>
        <w:spacing w:line="360" w:lineRule="auto"/>
        <w:ind w:left="-288"/>
        <w:rPr>
          <w:rFonts w:ascii="Georgia" w:hAnsi="Georgia"/>
          <w:b/>
          <w:bCs/>
          <w:color w:val="009CDE"/>
          <w:sz w:val="28"/>
          <w:szCs w:val="36"/>
        </w:rPr>
      </w:pPr>
      <w:r>
        <w:rPr>
          <w:rFonts w:ascii="Georgia" w:hAnsi="Georgia"/>
          <w:b/>
          <w:bCs/>
          <w:color w:val="009CDE"/>
          <w:sz w:val="28"/>
          <w:szCs w:val="36"/>
        </w:rPr>
        <w:t>Synopsis</w:t>
      </w:r>
    </w:p>
    <w:p w14:paraId="4A42C216" w14:textId="313878DF" w:rsidR="00BC4451" w:rsidRDefault="004035F7" w:rsidP="00825D1B">
      <w:pPr>
        <w:spacing w:line="360" w:lineRule="auto"/>
        <w:ind w:left="-288"/>
        <w:rPr>
          <w:rFonts w:ascii="Georgia" w:hAnsi="Georgia"/>
          <w:sz w:val="20"/>
          <w:szCs w:val="20"/>
        </w:rPr>
      </w:pPr>
      <w:r w:rsidRPr="000F533D">
        <w:rPr>
          <w:noProof/>
          <w:color w:val="EE0000"/>
        </w:rPr>
        <w:drawing>
          <wp:anchor distT="0" distB="0" distL="114300" distR="114300" simplePos="0" relativeHeight="251668480" behindDoc="0" locked="0" layoutInCell="1" allowOverlap="1" wp14:anchorId="2C4A100E" wp14:editId="2E7FFEFC">
            <wp:simplePos x="0" y="0"/>
            <wp:positionH relativeFrom="page">
              <wp:align>center</wp:align>
            </wp:positionH>
            <wp:positionV relativeFrom="paragraph">
              <wp:posOffset>675640</wp:posOffset>
            </wp:positionV>
            <wp:extent cx="6005195" cy="4611370"/>
            <wp:effectExtent l="0" t="0" r="0" b="0"/>
            <wp:wrapTopAndBottom/>
            <wp:docPr id="3760726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461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4C9C" w:rsidRPr="000F533D">
        <w:rPr>
          <w:rFonts w:ascii="Georgia" w:eastAsia="Calibri" w:hAnsi="Georgia" w:cs="Arial"/>
          <w:noProof/>
          <w:color w:val="EE0000"/>
          <w:sz w:val="20"/>
          <w:szCs w:val="20"/>
        </w:rPr>
        <mc:AlternateContent>
          <mc:Choice Requires="wps">
            <w:drawing>
              <wp:anchor distT="45720" distB="45720" distL="114300" distR="114300" simplePos="0" relativeHeight="251658240" behindDoc="0" locked="0" layoutInCell="1" allowOverlap="1" wp14:anchorId="78089FBB" wp14:editId="09DF1FE5">
                <wp:simplePos x="0" y="0"/>
                <wp:positionH relativeFrom="page">
                  <wp:posOffset>596265</wp:posOffset>
                </wp:positionH>
                <wp:positionV relativeFrom="paragraph">
                  <wp:posOffset>5295900</wp:posOffset>
                </wp:positionV>
                <wp:extent cx="6877685" cy="1369060"/>
                <wp:effectExtent l="0" t="0" r="0" b="2540"/>
                <wp:wrapTopAndBottom/>
                <wp:docPr id="1937844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685" cy="1369060"/>
                        </a:xfrm>
                        <a:prstGeom prst="rect">
                          <a:avLst/>
                        </a:prstGeom>
                        <a:noFill/>
                        <a:ln w="9525">
                          <a:noFill/>
                          <a:miter lim="800000"/>
                          <a:headEnd/>
                          <a:tailEnd/>
                        </a:ln>
                      </wps:spPr>
                      <wps:txbx>
                        <w:txbxContent>
                          <w:p w14:paraId="56E4731D" w14:textId="7F4C1370" w:rsidR="00344C9C" w:rsidRPr="007A7377" w:rsidRDefault="00344C9C" w:rsidP="00344C9C">
                            <w:pPr>
                              <w:rPr>
                                <w:rFonts w:ascii="Arial" w:hAnsi="Arial" w:cs="Arial"/>
                                <w:sz w:val="16"/>
                                <w:szCs w:val="16"/>
                              </w:rPr>
                            </w:pPr>
                            <w:r w:rsidRPr="007A7377">
                              <w:rPr>
                                <w:rFonts w:ascii="Arial" w:hAnsi="Arial" w:cs="Arial"/>
                                <w:sz w:val="16"/>
                                <w:szCs w:val="16"/>
                              </w:rPr>
                              <w:t>Source: Fiducient Advisors Capital Market Assumptions. Market and economic data including, but not limited to, valuations, fixed income yields and inflation, are used to derive forecasts. Outputs and opinions are as of the date referenced and are subject to change. Information is intended for general information purposes only and does not represent any specific investment recommendation. Please consult with your advisor, attorney and accountant, as appropriate, regarding specific advice. There is no guarantee that any of these expectations will become actual results. Past performance does not indicate future performance and there is a possibility of a loss.</w:t>
                            </w:r>
                            <w:r>
                              <w:rPr>
                                <w:rFonts w:ascii="Arial" w:hAnsi="Arial" w:cs="Arial"/>
                                <w:sz w:val="16"/>
                                <w:szCs w:val="16"/>
                              </w:rPr>
                              <w:t xml:space="preserve"> </w:t>
                            </w:r>
                            <w:r w:rsidRPr="007A7377">
                              <w:rPr>
                                <w:rFonts w:ascii="Arial" w:hAnsi="Arial" w:cs="Arial"/>
                                <w:sz w:val="16"/>
                                <w:szCs w:val="16"/>
                              </w:rPr>
                              <w:t>For additional information on forecast methodologies, please speak with your advisor. Please see Index Proxy Summary information at the end of this paper for summary of indices used to represent each asset class.</w:t>
                            </w:r>
                          </w:p>
                          <w:p w14:paraId="152111E1" w14:textId="77777777" w:rsidR="00344C9C" w:rsidRPr="007A7377" w:rsidRDefault="00344C9C" w:rsidP="00344C9C">
                            <w:pPr>
                              <w:rPr>
                                <w:rFonts w:ascii="Arial" w:hAnsi="Arial" w:cs="Arial"/>
                                <w:sz w:val="16"/>
                                <w:szCs w:val="16"/>
                              </w:rPr>
                            </w:pPr>
                          </w:p>
                          <w:p w14:paraId="30B79F42" w14:textId="77777777" w:rsidR="00344C9C" w:rsidRPr="000D5343" w:rsidRDefault="00344C9C" w:rsidP="00344C9C">
                            <w:pPr>
                              <w:rPr>
                                <w:rFonts w:ascii="Arial" w:hAnsi="Arial" w:cs="Arial"/>
                                <w:sz w:val="16"/>
                                <w:szCs w:val="16"/>
                              </w:rPr>
                            </w:pPr>
                            <w:r w:rsidRPr="007A7377">
                              <w:rPr>
                                <w:rFonts w:ascii="Arial" w:hAnsi="Arial" w:cs="Arial"/>
                                <w:sz w:val="16"/>
                                <w:szCs w:val="16"/>
                              </w:rPr>
                              <w:t>1) Dynamic bonds are a blend of 33% Cash, 33% Corp HY, and 34% Global Bonds. 2) Tax Equivalent yield based on highest marginal Federal tax rate (37%). 3) Broad Real Assets is 20% REITS, 20% Global Infrastructure, 20% Commodities, 20% US Bonds, 15% Corp High Yield, 5% TIPS. 4) Morningstar Direct. Based on MSCI ACWI, as of October 31,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089FBB" id="_x0000_t202" coordsize="21600,21600" o:spt="202" path="m,l,21600r21600,l21600,xe">
                <v:stroke joinstyle="miter"/>
                <v:path gradientshapeok="t" o:connecttype="rect"/>
              </v:shapetype>
              <v:shape id="Text Box 2" o:spid="_x0000_s1026" type="#_x0000_t202" style="position:absolute;left:0;text-align:left;margin-left:46.95pt;margin-top:417pt;width:541.55pt;height:107.8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" filled="f" stroked="f">
                <v:textbox>
                  <w:txbxContent>
                    <w:p w14:paraId="56E4731D" w14:textId="7F4C1370" w:rsidR="00344C9C" w:rsidRPr="007A7377" w:rsidRDefault="00344C9C" w:rsidP="00344C9C">
                      <w:pPr>
                        <w:rPr>
                          <w:rFonts w:ascii="Arial" w:hAnsi="Arial" w:cs="Arial"/>
                          <w:sz w:val="16"/>
                          <w:szCs w:val="16"/>
                        </w:rPr>
                      </w:pPr>
                      <w:r w:rsidRPr="007A7377">
                        <w:rPr>
                          <w:rFonts w:ascii="Arial" w:hAnsi="Arial" w:cs="Arial"/>
                          <w:sz w:val="16"/>
                          <w:szCs w:val="16"/>
                        </w:rPr>
                        <w:t>Source: Fiducient Advisors Capital Market Assumptions. Market and economic data including, but not limited to, valuations, fixed income yields and inflation, are used to derive forecasts. Outputs and opinions are as of the date referenced and are subject to change. Information is intended for general information purposes only and does not represent any specific investment recommendation. Please consult with your advisor, attorney and accountant, as appropriate, regarding specific advice. There is no guarantee that any of these expectations will become actual results. Past performance does not indicate future performance and there is a possibility of a loss.</w:t>
                      </w:r>
                      <w:r>
                        <w:rPr>
                          <w:rFonts w:ascii="Arial" w:hAnsi="Arial" w:cs="Arial"/>
                          <w:sz w:val="16"/>
                          <w:szCs w:val="16"/>
                        </w:rPr>
                        <w:t xml:space="preserve"> </w:t>
                      </w:r>
                      <w:r w:rsidRPr="007A7377">
                        <w:rPr>
                          <w:rFonts w:ascii="Arial" w:hAnsi="Arial" w:cs="Arial"/>
                          <w:sz w:val="16"/>
                          <w:szCs w:val="16"/>
                        </w:rPr>
                        <w:t>For additional information on forecast methodologies, please speak with your advisor. Please see Index Proxy Summary information at the end of this paper for summary of indices used to represent each asset class.</w:t>
                      </w:r>
                    </w:p>
                    <w:p w14:paraId="152111E1" w14:textId="77777777" w:rsidR="00344C9C" w:rsidRPr="007A7377" w:rsidRDefault="00344C9C" w:rsidP="00344C9C">
                      <w:pPr>
                        <w:rPr>
                          <w:rFonts w:ascii="Arial" w:hAnsi="Arial" w:cs="Arial"/>
                          <w:sz w:val="16"/>
                          <w:szCs w:val="16"/>
                        </w:rPr>
                      </w:pPr>
                    </w:p>
                    <w:p w14:paraId="30B79F42" w14:textId="77777777" w:rsidR="00344C9C" w:rsidRPr="000D5343" w:rsidRDefault="00344C9C" w:rsidP="00344C9C">
                      <w:pPr>
                        <w:rPr>
                          <w:rFonts w:ascii="Arial" w:hAnsi="Arial" w:cs="Arial"/>
                          <w:sz w:val="16"/>
                          <w:szCs w:val="16"/>
                        </w:rPr>
                      </w:pPr>
                      <w:r w:rsidRPr="007A7377">
                        <w:rPr>
                          <w:rFonts w:ascii="Arial" w:hAnsi="Arial" w:cs="Arial"/>
                          <w:sz w:val="16"/>
                          <w:szCs w:val="16"/>
                        </w:rPr>
                        <w:t>1) Dynamic bonds are a blend of 33% Cash, 33% Corp HY, and 34% Global Bonds. 2) Tax Equivalent yield based on highest marginal Federal tax rate (37%). 3) Broad Real Assets is 20% REITS, 20% Global Infrastructure, 20% Commodities, 20% US Bonds, 15% Corp High Yield, 5% TIPS. 4) Morningstar Direct. Based on MSCI ACWI, as of October 31, 2025.</w:t>
                      </w:r>
                    </w:p>
                  </w:txbxContent>
                </v:textbox>
                <w10:wrap type="topAndBottom" anchorx="page"/>
              </v:shape>
            </w:pict>
          </mc:Fallback>
        </mc:AlternateContent>
      </w:r>
      <w:r w:rsidR="004E721E" w:rsidRPr="000F533D">
        <w:rPr>
          <w:rFonts w:ascii="Georgia" w:hAnsi="Georgia"/>
          <w:color w:val="EE0000"/>
          <w:sz w:val="20"/>
          <w:szCs w:val="20"/>
        </w:rPr>
        <w:t xml:space="preserve">Fiducient Advisors </w:t>
      </w:r>
      <w:r w:rsidR="004E721E" w:rsidRPr="004E721E">
        <w:rPr>
          <w:rFonts w:ascii="Georgia" w:hAnsi="Georgia"/>
          <w:sz w:val="20"/>
          <w:szCs w:val="20"/>
        </w:rPr>
        <w:t>updates asset class assumptions at least annually to reflect 10-year estimates for asset class returns, standard deviations, skewness, kurtosis and correlations. This paper details our input assumptions for the investment period from January 202</w:t>
      </w:r>
      <w:r w:rsidR="004E721E">
        <w:rPr>
          <w:rFonts w:ascii="Georgia" w:hAnsi="Georgia"/>
          <w:sz w:val="20"/>
          <w:szCs w:val="20"/>
        </w:rPr>
        <w:t>6</w:t>
      </w:r>
      <w:r w:rsidR="004E721E" w:rsidRPr="004E721E">
        <w:rPr>
          <w:rFonts w:ascii="Georgia" w:hAnsi="Georgia"/>
          <w:sz w:val="20"/>
          <w:szCs w:val="20"/>
        </w:rPr>
        <w:t xml:space="preserve"> to December 203</w:t>
      </w:r>
      <w:r w:rsidR="004E721E">
        <w:rPr>
          <w:rFonts w:ascii="Georgia" w:hAnsi="Georgia"/>
          <w:sz w:val="20"/>
          <w:szCs w:val="20"/>
        </w:rPr>
        <w:t>5</w:t>
      </w:r>
      <w:r w:rsidR="004E721E" w:rsidRPr="004E721E">
        <w:rPr>
          <w:rFonts w:ascii="Georgia" w:hAnsi="Georgia"/>
          <w:sz w:val="20"/>
          <w:szCs w:val="20"/>
        </w:rPr>
        <w:t>.</w:t>
      </w:r>
    </w:p>
    <w:p w14:paraId="06CBA48D" w14:textId="592B2997" w:rsidR="00291B5E" w:rsidRPr="007A48B6" w:rsidRDefault="004E721E" w:rsidP="00291B5E">
      <w:pPr>
        <w:spacing w:line="360" w:lineRule="auto"/>
        <w:ind w:left="-288"/>
        <w:rPr>
          <w:rFonts w:ascii="Georgia" w:hAnsi="Georgia"/>
          <w:b/>
          <w:bCs/>
          <w:color w:val="009CDE"/>
          <w:sz w:val="28"/>
          <w:szCs w:val="36"/>
        </w:rPr>
      </w:pPr>
      <w:r>
        <w:rPr>
          <w:rFonts w:ascii="Georgia" w:hAnsi="Georgia"/>
          <w:b/>
          <w:bCs/>
          <w:color w:val="009CDE"/>
          <w:sz w:val="28"/>
          <w:szCs w:val="36"/>
        </w:rPr>
        <w:lastRenderedPageBreak/>
        <w:t>10-Year Return Forecasts by Asset Class</w:t>
      </w:r>
    </w:p>
    <w:p w14:paraId="41DE5B9F" w14:textId="4403E33A" w:rsidR="004E721E" w:rsidRDefault="004E721E" w:rsidP="00E735FD">
      <w:pPr>
        <w:spacing w:line="360" w:lineRule="auto"/>
        <w:ind w:left="-288"/>
        <w:rPr>
          <w:rFonts w:ascii="Georgia" w:hAnsi="Georgia"/>
          <w:sz w:val="20"/>
          <w:szCs w:val="20"/>
        </w:rPr>
      </w:pPr>
      <w:r w:rsidRPr="004E721E">
        <w:rPr>
          <w:rFonts w:ascii="Georgia" w:hAnsi="Georgia"/>
          <w:b/>
          <w:bCs/>
          <w:color w:val="002855"/>
          <w:sz w:val="20"/>
          <w:szCs w:val="20"/>
        </w:rPr>
        <w:t>INFLATION (CPI):</w:t>
      </w:r>
      <w:r w:rsidRPr="004E721E">
        <w:rPr>
          <w:rFonts w:ascii="Georgia" w:hAnsi="Georgia"/>
          <w:sz w:val="20"/>
          <w:szCs w:val="20"/>
        </w:rPr>
        <w:t xml:space="preserve"> </w:t>
      </w:r>
      <w:r w:rsidRPr="0007644D">
        <w:rPr>
          <w:rFonts w:ascii="Georgia" w:hAnsi="Georgia"/>
          <w:sz w:val="20"/>
          <w:szCs w:val="20"/>
        </w:rPr>
        <w:t>Inflation is used as a building block of total return for several asset classes. Our forecast of inflation is the difference between the 10-year nominal U.S. Treasury yield and the 10-year TIPS real yield. As of October 31, 202</w:t>
      </w:r>
      <w:r w:rsidR="0007644D" w:rsidRPr="0007644D">
        <w:rPr>
          <w:rFonts w:ascii="Georgia" w:hAnsi="Georgia"/>
          <w:sz w:val="20"/>
          <w:szCs w:val="20"/>
        </w:rPr>
        <w:t>5</w:t>
      </w:r>
      <w:r w:rsidRPr="0007644D">
        <w:rPr>
          <w:rFonts w:ascii="Georgia" w:hAnsi="Georgia"/>
          <w:sz w:val="20"/>
          <w:szCs w:val="20"/>
        </w:rPr>
        <w:t>, this difference was 2.3</w:t>
      </w:r>
      <w:r w:rsidR="0007644D" w:rsidRPr="0007644D">
        <w:rPr>
          <w:rFonts w:ascii="Georgia" w:hAnsi="Georgia"/>
          <w:sz w:val="20"/>
          <w:szCs w:val="20"/>
        </w:rPr>
        <w:t>0</w:t>
      </w:r>
      <w:r w:rsidRPr="0007644D">
        <w:rPr>
          <w:rFonts w:ascii="Georgia" w:hAnsi="Georgia"/>
          <w:sz w:val="20"/>
          <w:szCs w:val="20"/>
        </w:rPr>
        <w:t>% (i.e., 4.</w:t>
      </w:r>
      <w:r w:rsidR="0007644D" w:rsidRPr="0007644D">
        <w:rPr>
          <w:rFonts w:ascii="Georgia" w:hAnsi="Georgia"/>
          <w:sz w:val="20"/>
          <w:szCs w:val="20"/>
        </w:rPr>
        <w:t>11</w:t>
      </w:r>
      <w:r w:rsidRPr="0007644D">
        <w:rPr>
          <w:rFonts w:ascii="Georgia" w:hAnsi="Georgia"/>
          <w:sz w:val="20"/>
          <w:szCs w:val="20"/>
        </w:rPr>
        <w:t>% - 1.</w:t>
      </w:r>
      <w:r w:rsidR="0007644D" w:rsidRPr="0007644D">
        <w:rPr>
          <w:rFonts w:ascii="Georgia" w:hAnsi="Georgia"/>
          <w:sz w:val="20"/>
          <w:szCs w:val="20"/>
        </w:rPr>
        <w:t>81</w:t>
      </w:r>
      <w:r w:rsidRPr="0007644D">
        <w:rPr>
          <w:rFonts w:ascii="Georgia" w:hAnsi="Georgia"/>
          <w:sz w:val="20"/>
          <w:szCs w:val="20"/>
        </w:rPr>
        <w:t>%). We believe this implied breakeven inflation rate (2.3</w:t>
      </w:r>
      <w:r w:rsidR="0007644D" w:rsidRPr="0007644D">
        <w:rPr>
          <w:rFonts w:ascii="Georgia" w:hAnsi="Georgia"/>
          <w:sz w:val="20"/>
          <w:szCs w:val="20"/>
        </w:rPr>
        <w:t>0</w:t>
      </w:r>
      <w:r w:rsidRPr="0007644D">
        <w:rPr>
          <w:rFonts w:ascii="Georgia" w:hAnsi="Georgia"/>
          <w:sz w:val="20"/>
          <w:szCs w:val="20"/>
        </w:rPr>
        <w:t>%) is a rational median case assumption regarding CPI inflation for all items in the Consumer Price Index over the next 10 years. The following are the implied breakeven and our forward CPI expectations based on current breakeven inflation relationships.</w:t>
      </w:r>
    </w:p>
    <w:p w14:paraId="2EEEF15C" w14:textId="39F33852" w:rsidR="004E721E" w:rsidRDefault="004E721E" w:rsidP="00E735FD">
      <w:pPr>
        <w:spacing w:line="360" w:lineRule="auto"/>
        <w:ind w:left="-288"/>
        <w:rPr>
          <w:rFonts w:ascii="Georgia" w:hAnsi="Georgia"/>
          <w:sz w:val="20"/>
          <w:szCs w:val="20"/>
        </w:rPr>
      </w:pPr>
    </w:p>
    <w:p w14:paraId="03D0C34E" w14:textId="61879EF5" w:rsidR="00332AC8" w:rsidRPr="00332AC8" w:rsidRDefault="00332AC8" w:rsidP="00332AC8">
      <w:pPr>
        <w:spacing w:line="360" w:lineRule="auto"/>
        <w:ind w:left="-288"/>
        <w:jc w:val="center"/>
        <w:rPr>
          <w:rFonts w:ascii="Georgia" w:hAnsi="Georgia"/>
          <w:b/>
          <w:bCs/>
          <w:color w:val="002855"/>
          <w:sz w:val="20"/>
          <w:szCs w:val="20"/>
        </w:rPr>
      </w:pPr>
      <w:r w:rsidRPr="00332AC8">
        <w:rPr>
          <w:rFonts w:ascii="Georgia" w:hAnsi="Georgia"/>
          <w:b/>
          <w:bCs/>
          <w:color w:val="002855"/>
          <w:sz w:val="20"/>
          <w:szCs w:val="20"/>
        </w:rPr>
        <w:t>Historical 10-Year U.S. Nominal and Real Rates (As of October 31, 2025)</w:t>
      </w:r>
    </w:p>
    <w:p w14:paraId="7730DB03" w14:textId="2C848F5A" w:rsidR="004E721E" w:rsidRDefault="0007644D" w:rsidP="00E735FD">
      <w:pPr>
        <w:spacing w:line="360" w:lineRule="auto"/>
        <w:ind w:left="-288"/>
        <w:rPr>
          <w:rFonts w:ascii="Georgia" w:hAnsi="Georgia"/>
          <w:sz w:val="20"/>
          <w:szCs w:val="20"/>
        </w:rPr>
      </w:pPr>
      <w:r w:rsidRPr="0007644D">
        <w:rPr>
          <w:rFonts w:ascii="Georgia" w:eastAsia="MS Mincho" w:hAnsi="Georgia" w:cs="Times New Roman"/>
          <w:noProof/>
        </w:rPr>
        <mc:AlternateContent>
          <mc:Choice Requires="wps">
            <w:drawing>
              <wp:anchor distT="0" distB="0" distL="114300" distR="114300" simplePos="0" relativeHeight="251644928" behindDoc="0" locked="0" layoutInCell="1" allowOverlap="1" wp14:anchorId="0C80B2EC" wp14:editId="33AC5C23">
                <wp:simplePos x="0" y="0"/>
                <wp:positionH relativeFrom="margin">
                  <wp:align>left</wp:align>
                </wp:positionH>
                <wp:positionV relativeFrom="paragraph">
                  <wp:posOffset>2977819</wp:posOffset>
                </wp:positionV>
                <wp:extent cx="6377305" cy="149860"/>
                <wp:effectExtent l="0" t="0" r="4445" b="2540"/>
                <wp:wrapTopAndBottom/>
                <wp:docPr id="19" name="Text Box 19"/>
                <wp:cNvGraphicFramePr/>
                <a:graphic xmlns:a="http://schemas.openxmlformats.org/drawingml/2006/main">
                  <a:graphicData uri="http://schemas.microsoft.com/office/word/2010/wordprocessingShape">
                    <wps:wsp>
                      <wps:cNvSpPr txBox="1"/>
                      <wps:spPr>
                        <a:xfrm>
                          <a:off x="0" y="0"/>
                          <a:ext cx="6377305" cy="149860"/>
                        </a:xfrm>
                        <a:prstGeom prst="rect">
                          <a:avLst/>
                        </a:prstGeom>
                        <a:solidFill>
                          <a:prstClr val="white"/>
                        </a:solidFill>
                        <a:ln>
                          <a:noFill/>
                        </a:ln>
                      </wps:spPr>
                      <wps:txbx>
                        <w:txbxContent>
                          <w:p w14:paraId="3800DE16" w14:textId="4096740B" w:rsidR="0007644D" w:rsidRPr="0007644D" w:rsidRDefault="0007644D" w:rsidP="0007644D">
                            <w:pPr>
                              <w:pStyle w:val="Caption1"/>
                              <w:jc w:val="center"/>
                              <w:rPr>
                                <w:rFonts w:ascii="Georgia" w:eastAsia="Arial Unicode MS" w:hAnsi="Georgia"/>
                                <w:noProof/>
                                <w:color w:val="auto"/>
                                <w:sz w:val="22"/>
                                <w:szCs w:val="22"/>
                              </w:rPr>
                            </w:pPr>
                            <w:r w:rsidRPr="0007644D">
                              <w:rPr>
                                <w:rFonts w:ascii="Georgia" w:hAnsi="Georgia"/>
                                <w:color w:val="auto"/>
                                <w:sz w:val="16"/>
                                <w:szCs w:val="16"/>
                              </w:rPr>
                              <w:t>Source: FactSet. As of October 31, 202</w:t>
                            </w:r>
                            <w:r>
                              <w:rPr>
                                <w:rFonts w:ascii="Georgia" w:hAnsi="Georgia"/>
                                <w:color w:val="auto"/>
                                <w:sz w:val="16"/>
                                <w:szCs w:val="1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80B2EC" id="Text Box 19" o:spid="_x0000_s1027" type="#_x0000_t202" style="position:absolute;left:0;text-align:left;margin-left:0;margin-top:234.45pt;width:502.15pt;height:11.8pt;z-index:2516449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" stroked="f">
                <v:textbox inset="0,0,0,0">
                  <w:txbxContent>
                    <w:p w14:paraId="3800DE16" w14:textId="4096740B" w:rsidR="0007644D" w:rsidRPr="0007644D" w:rsidRDefault="0007644D" w:rsidP="0007644D">
                      <w:pPr>
                        <w:pStyle w:val="Caption1"/>
                        <w:jc w:val="center"/>
                        <w:rPr>
                          <w:rFonts w:ascii="Georgia" w:eastAsia="Arial Unicode MS" w:hAnsi="Georgia"/>
                          <w:noProof/>
                          <w:color w:val="auto"/>
                          <w:sz w:val="22"/>
                          <w:szCs w:val="22"/>
                        </w:rPr>
                      </w:pPr>
                      <w:r w:rsidRPr="0007644D">
                        <w:rPr>
                          <w:rFonts w:ascii="Georgia" w:hAnsi="Georgia"/>
                          <w:color w:val="auto"/>
                          <w:sz w:val="16"/>
                          <w:szCs w:val="16"/>
                        </w:rPr>
                        <w:t>Source: FactSet. As of October 31, 202</w:t>
                      </w:r>
                      <w:r>
                        <w:rPr>
                          <w:rFonts w:ascii="Georgia" w:hAnsi="Georgia"/>
                          <w:color w:val="auto"/>
                          <w:sz w:val="16"/>
                          <w:szCs w:val="16"/>
                        </w:rPr>
                        <w:t>5</w:t>
                      </w:r>
                    </w:p>
                  </w:txbxContent>
                </v:textbox>
                <w10:wrap type="topAndBottom" anchorx="margin"/>
              </v:shape>
            </w:pict>
          </mc:Fallback>
        </mc:AlternateContent>
      </w:r>
      <w:r>
        <w:rPr>
          <w:rFonts w:ascii="Georgia" w:hAnsi="Georgia"/>
          <w:noProof/>
          <w:sz w:val="20"/>
          <w:szCs w:val="20"/>
        </w:rPr>
        <w:drawing>
          <wp:inline distT="0" distB="0" distL="0" distR="0" wp14:anchorId="037646F0" wp14:editId="3D564E57">
            <wp:extent cx="6265434" cy="2961696"/>
            <wp:effectExtent l="0" t="0" r="2540" b="0"/>
            <wp:docPr id="17467235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8844" cy="2982216"/>
                    </a:xfrm>
                    <a:prstGeom prst="rect">
                      <a:avLst/>
                    </a:prstGeom>
                    <a:noFill/>
                  </pic:spPr>
                </pic:pic>
              </a:graphicData>
            </a:graphic>
          </wp:inline>
        </w:drawing>
      </w:r>
    </w:p>
    <w:p w14:paraId="3DBCE58A" w14:textId="757E5F1C" w:rsidR="00332AC8" w:rsidRDefault="00332AC8" w:rsidP="00E735FD">
      <w:pPr>
        <w:spacing w:line="360" w:lineRule="auto"/>
        <w:ind w:left="-288"/>
        <w:rPr>
          <w:rFonts w:ascii="Georgia" w:hAnsi="Georgia"/>
          <w:sz w:val="20"/>
          <w:szCs w:val="20"/>
        </w:rPr>
      </w:pPr>
      <w:r w:rsidRPr="0007644D">
        <w:rPr>
          <w:rFonts w:ascii="Georgia" w:eastAsia="MS Mincho" w:hAnsi="Georgia" w:cs="Times New Roman"/>
          <w:noProof/>
        </w:rPr>
        <mc:AlternateContent>
          <mc:Choice Requires="wps">
            <w:drawing>
              <wp:anchor distT="0" distB="0" distL="114300" distR="114300" simplePos="0" relativeHeight="251648000" behindDoc="0" locked="0" layoutInCell="1" allowOverlap="1" wp14:anchorId="5E85D6AD" wp14:editId="0C1399A7">
                <wp:simplePos x="0" y="0"/>
                <wp:positionH relativeFrom="margin">
                  <wp:align>left</wp:align>
                </wp:positionH>
                <wp:positionV relativeFrom="paragraph">
                  <wp:posOffset>1472151</wp:posOffset>
                </wp:positionV>
                <wp:extent cx="6377305" cy="149860"/>
                <wp:effectExtent l="0" t="0" r="4445" b="2540"/>
                <wp:wrapTopAndBottom/>
                <wp:docPr id="1378834339" name="Text Box 1378834339"/>
                <wp:cNvGraphicFramePr/>
                <a:graphic xmlns:a="http://schemas.openxmlformats.org/drawingml/2006/main">
                  <a:graphicData uri="http://schemas.microsoft.com/office/word/2010/wordprocessingShape">
                    <wps:wsp>
                      <wps:cNvSpPr txBox="1"/>
                      <wps:spPr>
                        <a:xfrm>
                          <a:off x="0" y="0"/>
                          <a:ext cx="6377305" cy="149860"/>
                        </a:xfrm>
                        <a:prstGeom prst="rect">
                          <a:avLst/>
                        </a:prstGeom>
                        <a:solidFill>
                          <a:prstClr val="white"/>
                        </a:solidFill>
                        <a:ln>
                          <a:noFill/>
                        </a:ln>
                      </wps:spPr>
                      <wps:txbx>
                        <w:txbxContent>
                          <w:p w14:paraId="30CAB247" w14:textId="77777777" w:rsidR="00332AC8" w:rsidRPr="0007644D" w:rsidRDefault="00332AC8" w:rsidP="00332AC8">
                            <w:pPr>
                              <w:pStyle w:val="Caption1"/>
                              <w:jc w:val="center"/>
                              <w:rPr>
                                <w:rFonts w:ascii="Georgia" w:eastAsia="Arial Unicode MS" w:hAnsi="Georgia"/>
                                <w:noProof/>
                                <w:color w:val="auto"/>
                                <w:sz w:val="22"/>
                                <w:szCs w:val="22"/>
                              </w:rPr>
                            </w:pPr>
                            <w:r w:rsidRPr="0007644D">
                              <w:rPr>
                                <w:rFonts w:ascii="Georgia" w:hAnsi="Georgia"/>
                                <w:color w:val="auto"/>
                                <w:sz w:val="16"/>
                                <w:szCs w:val="16"/>
                              </w:rPr>
                              <w:t>Source: FactSet. As of October 31, 202</w:t>
                            </w:r>
                            <w:r>
                              <w:rPr>
                                <w:rFonts w:ascii="Georgia" w:hAnsi="Georgia"/>
                                <w:color w:val="auto"/>
                                <w:sz w:val="16"/>
                                <w:szCs w:val="1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85D6AD" id="Text Box 1378834339" o:spid="_x0000_s1028" type="#_x0000_t202" style="position:absolute;left:0;text-align:left;margin-left:0;margin-top:115.9pt;width:502.15pt;height:11.8pt;z-index:2516480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" stroked="f">
                <v:textbox inset="0,0,0,0">
                  <w:txbxContent>
                    <w:p w14:paraId="30CAB247" w14:textId="77777777" w:rsidR="00332AC8" w:rsidRPr="0007644D" w:rsidRDefault="00332AC8" w:rsidP="00332AC8">
                      <w:pPr>
                        <w:pStyle w:val="Caption1"/>
                        <w:jc w:val="center"/>
                        <w:rPr>
                          <w:rFonts w:ascii="Georgia" w:eastAsia="Arial Unicode MS" w:hAnsi="Georgia"/>
                          <w:noProof/>
                          <w:color w:val="auto"/>
                          <w:sz w:val="22"/>
                          <w:szCs w:val="22"/>
                        </w:rPr>
                      </w:pPr>
                      <w:r w:rsidRPr="0007644D">
                        <w:rPr>
                          <w:rFonts w:ascii="Georgia" w:hAnsi="Georgia"/>
                          <w:color w:val="auto"/>
                          <w:sz w:val="16"/>
                          <w:szCs w:val="16"/>
                        </w:rPr>
                        <w:t>Source: FactSet. As of October 31, 202</w:t>
                      </w:r>
                      <w:r>
                        <w:rPr>
                          <w:rFonts w:ascii="Georgia" w:hAnsi="Georgia"/>
                          <w:color w:val="auto"/>
                          <w:sz w:val="16"/>
                          <w:szCs w:val="16"/>
                        </w:rPr>
                        <w:t>5</w:t>
                      </w:r>
                    </w:p>
                  </w:txbxContent>
                </v:textbox>
                <w10:wrap type="topAndBottom" anchorx="margin"/>
              </v:shape>
            </w:pict>
          </mc:Fallback>
        </mc:AlternateContent>
      </w:r>
      <w:r w:rsidRPr="00332AC8">
        <w:rPr>
          <w:noProof/>
        </w:rPr>
        <w:drawing>
          <wp:anchor distT="0" distB="0" distL="114300" distR="114300" simplePos="0" relativeHeight="251646976" behindDoc="0" locked="0" layoutInCell="1" allowOverlap="1" wp14:anchorId="2D303647" wp14:editId="3D858472">
            <wp:simplePos x="0" y="0"/>
            <wp:positionH relativeFrom="margin">
              <wp:align>right</wp:align>
            </wp:positionH>
            <wp:positionV relativeFrom="paragraph">
              <wp:posOffset>353695</wp:posOffset>
            </wp:positionV>
            <wp:extent cx="6229350" cy="1022350"/>
            <wp:effectExtent l="0" t="0" r="0" b="6350"/>
            <wp:wrapTopAndBottom/>
            <wp:docPr id="2288351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9350" cy="1022350"/>
                    </a:xfrm>
                    <a:prstGeom prst="rect">
                      <a:avLst/>
                    </a:prstGeom>
                    <a:noFill/>
                    <a:ln>
                      <a:noFill/>
                    </a:ln>
                  </pic:spPr>
                </pic:pic>
              </a:graphicData>
            </a:graphic>
          </wp:anchor>
        </w:drawing>
      </w:r>
    </w:p>
    <w:p w14:paraId="74690115" w14:textId="1B45D5BC" w:rsidR="00332AC8" w:rsidRPr="00332AC8" w:rsidRDefault="00332AC8" w:rsidP="00332AC8">
      <w:pPr>
        <w:spacing w:line="360" w:lineRule="auto"/>
        <w:ind w:left="-288"/>
        <w:rPr>
          <w:rFonts w:ascii="Georgia" w:hAnsi="Georgia"/>
          <w:sz w:val="20"/>
          <w:szCs w:val="20"/>
        </w:rPr>
      </w:pPr>
    </w:p>
    <w:p w14:paraId="1872ED1C" w14:textId="77777777" w:rsidR="00332AC8" w:rsidRPr="00332AC8" w:rsidRDefault="00332AC8" w:rsidP="00332AC8">
      <w:pPr>
        <w:spacing w:line="360" w:lineRule="auto"/>
        <w:ind w:left="-288"/>
        <w:rPr>
          <w:rFonts w:ascii="Georgia" w:hAnsi="Georgia"/>
          <w:sz w:val="20"/>
          <w:szCs w:val="20"/>
        </w:rPr>
      </w:pPr>
      <w:r w:rsidRPr="00332AC8">
        <w:rPr>
          <w:rFonts w:ascii="Georgia" w:hAnsi="Georgia"/>
          <w:sz w:val="20"/>
          <w:szCs w:val="20"/>
        </w:rPr>
        <w:t>The curve is pricing in steady inflation over the next 10 years with a modest increase and then decrease thereafter.</w:t>
      </w:r>
    </w:p>
    <w:p w14:paraId="6EBF03A1" w14:textId="0BFF13C8" w:rsidR="00332AC8" w:rsidRDefault="00332AC8" w:rsidP="00332AC8">
      <w:pPr>
        <w:spacing w:line="360" w:lineRule="auto"/>
        <w:ind w:left="-288"/>
        <w:rPr>
          <w:rFonts w:ascii="Georgia" w:hAnsi="Georgia"/>
          <w:b/>
          <w:bCs/>
          <w:sz w:val="20"/>
          <w:szCs w:val="20"/>
        </w:rPr>
      </w:pPr>
      <w:r w:rsidRPr="00332AC8">
        <w:rPr>
          <w:rFonts w:ascii="Georgia" w:hAnsi="Georgia"/>
          <w:b/>
          <w:bCs/>
          <w:sz w:val="20"/>
          <w:szCs w:val="20"/>
        </w:rPr>
        <w:t>10-Year Forecast of Annual CPI: 2.3%</w:t>
      </w:r>
    </w:p>
    <w:p w14:paraId="53DBEF50" w14:textId="77777777" w:rsidR="00332AC8" w:rsidRPr="00332AC8" w:rsidRDefault="00332AC8" w:rsidP="00332AC8">
      <w:pPr>
        <w:spacing w:line="360" w:lineRule="auto"/>
        <w:ind w:left="-288"/>
        <w:rPr>
          <w:rFonts w:ascii="Georgia" w:hAnsi="Georgia"/>
          <w:sz w:val="20"/>
          <w:szCs w:val="20"/>
        </w:rPr>
      </w:pPr>
    </w:p>
    <w:p w14:paraId="30E1EFA2" w14:textId="27251146" w:rsidR="00332AC8" w:rsidRPr="003A16AF" w:rsidRDefault="00332AC8" w:rsidP="00332AC8">
      <w:pPr>
        <w:spacing w:line="360" w:lineRule="auto"/>
        <w:ind w:left="-288"/>
        <w:rPr>
          <w:rFonts w:ascii="Georgia" w:hAnsi="Georgia"/>
          <w:i/>
          <w:iCs/>
          <w:sz w:val="16"/>
          <w:szCs w:val="16"/>
        </w:rPr>
      </w:pPr>
      <w:r w:rsidRPr="003A16AF">
        <w:rPr>
          <w:rFonts w:ascii="Georgia" w:hAnsi="Georgia"/>
          <w:i/>
          <w:iCs/>
          <w:sz w:val="16"/>
          <w:szCs w:val="16"/>
        </w:rPr>
        <w:t xml:space="preserve">Use of Indices and Benchmark Return Indices cannot be </w:t>
      </w:r>
      <w:proofErr w:type="gramStart"/>
      <w:r w:rsidRPr="003A16AF">
        <w:rPr>
          <w:rFonts w:ascii="Georgia" w:hAnsi="Georgia"/>
          <w:i/>
          <w:iCs/>
          <w:sz w:val="16"/>
          <w:szCs w:val="16"/>
        </w:rPr>
        <w:t>invested in</w:t>
      </w:r>
      <w:proofErr w:type="gramEnd"/>
      <w:r w:rsidRPr="003A16AF">
        <w:rPr>
          <w:rFonts w:ascii="Georgia" w:hAnsi="Georgia"/>
          <w:i/>
          <w:iCs/>
          <w:sz w:val="16"/>
          <w:szCs w:val="16"/>
        </w:rPr>
        <w:t xml:space="preserve"> directly. Index performance is reported gross of fees and expenses and assumes the reinvest dividends and capital gains. Past performance does not indicate future performance and there is a possibility of a loss. See disclosure page for indices representing each asset class.</w:t>
      </w:r>
    </w:p>
    <w:p w14:paraId="7713E34F" w14:textId="22CB4B96" w:rsidR="00332AC8" w:rsidRPr="00332AC8" w:rsidRDefault="00332AC8" w:rsidP="00332AC8">
      <w:pPr>
        <w:spacing w:line="360" w:lineRule="auto"/>
        <w:ind w:left="-288"/>
        <w:rPr>
          <w:rFonts w:ascii="Georgia" w:hAnsi="Georgia"/>
          <w:sz w:val="20"/>
          <w:szCs w:val="20"/>
        </w:rPr>
      </w:pPr>
    </w:p>
    <w:p w14:paraId="2E2D3D15" w14:textId="0975565A" w:rsidR="00332AC8" w:rsidRPr="00332AC8" w:rsidRDefault="00332AC8" w:rsidP="00332AC8">
      <w:pPr>
        <w:spacing w:line="360" w:lineRule="auto"/>
        <w:ind w:left="-288"/>
        <w:rPr>
          <w:rFonts w:ascii="Georgia" w:hAnsi="Georgia"/>
          <w:sz w:val="20"/>
          <w:szCs w:val="20"/>
        </w:rPr>
      </w:pPr>
    </w:p>
    <w:p w14:paraId="4F0F898B" w14:textId="0931CB01" w:rsidR="006C46CE" w:rsidRDefault="00DF0BE5" w:rsidP="006C46CE">
      <w:pPr>
        <w:spacing w:line="360" w:lineRule="auto"/>
        <w:ind w:left="-288"/>
      </w:pPr>
      <w:r w:rsidRPr="0007644D">
        <w:rPr>
          <w:rFonts w:ascii="Georgia" w:eastAsia="MS Mincho" w:hAnsi="Georgia" w:cs="Times New Roman"/>
          <w:noProof/>
        </w:rPr>
        <mc:AlternateContent>
          <mc:Choice Requires="wps">
            <w:drawing>
              <wp:anchor distT="0" distB="0" distL="114300" distR="114300" simplePos="0" relativeHeight="251650048" behindDoc="0" locked="0" layoutInCell="1" allowOverlap="1" wp14:anchorId="1E07FAA4" wp14:editId="56459B3C">
                <wp:simplePos x="0" y="0"/>
                <wp:positionH relativeFrom="page">
                  <wp:align>center</wp:align>
                </wp:positionH>
                <wp:positionV relativeFrom="paragraph">
                  <wp:posOffset>2105218</wp:posOffset>
                </wp:positionV>
                <wp:extent cx="2463800" cy="173355"/>
                <wp:effectExtent l="0" t="0" r="0" b="0"/>
                <wp:wrapTopAndBottom/>
                <wp:docPr id="1162679639" name="Text Box 1162679639"/>
                <wp:cNvGraphicFramePr/>
                <a:graphic xmlns:a="http://schemas.openxmlformats.org/drawingml/2006/main">
                  <a:graphicData uri="http://schemas.microsoft.com/office/word/2010/wordprocessingShape">
                    <wps:wsp>
                      <wps:cNvSpPr txBox="1"/>
                      <wps:spPr>
                        <a:xfrm>
                          <a:off x="0" y="0"/>
                          <a:ext cx="2463800" cy="173355"/>
                        </a:xfrm>
                        <a:prstGeom prst="rect">
                          <a:avLst/>
                        </a:prstGeom>
                        <a:solidFill>
                          <a:prstClr val="white"/>
                        </a:solidFill>
                        <a:ln>
                          <a:noFill/>
                        </a:ln>
                      </wps:spPr>
                      <wps:txbx>
                        <w:txbxContent>
                          <w:p w14:paraId="54C56785" w14:textId="77777777" w:rsidR="00C7519C" w:rsidRPr="0007644D" w:rsidRDefault="00C7519C" w:rsidP="00C7519C">
                            <w:pPr>
                              <w:pStyle w:val="Caption1"/>
                              <w:jc w:val="center"/>
                              <w:rPr>
                                <w:rFonts w:ascii="Georgia" w:eastAsia="Arial Unicode MS" w:hAnsi="Georgia"/>
                                <w:noProof/>
                                <w:color w:val="auto"/>
                                <w:sz w:val="22"/>
                                <w:szCs w:val="22"/>
                              </w:rPr>
                            </w:pPr>
                            <w:r w:rsidRPr="0007644D">
                              <w:rPr>
                                <w:rFonts w:ascii="Georgia" w:hAnsi="Georgia"/>
                                <w:color w:val="auto"/>
                                <w:sz w:val="16"/>
                                <w:szCs w:val="16"/>
                              </w:rPr>
                              <w:t>Source: FactSet. As of October 31, 202</w:t>
                            </w:r>
                            <w:r>
                              <w:rPr>
                                <w:rFonts w:ascii="Georgia" w:hAnsi="Georgia"/>
                                <w:color w:val="auto"/>
                                <w:sz w:val="16"/>
                                <w:szCs w:val="1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7FAA4" id="Text Box 1162679639" o:spid="_x0000_s1029" type="#_x0000_t202" style="position:absolute;left:0;text-align:left;margin-left:0;margin-top:165.75pt;width:194pt;height:13.65pt;z-index:2516500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" stroked="f">
                <v:textbox inset="0,0,0,0">
                  <w:txbxContent>
                    <w:p w14:paraId="54C56785" w14:textId="77777777" w:rsidR="00C7519C" w:rsidRPr="0007644D" w:rsidRDefault="00C7519C" w:rsidP="00C7519C">
                      <w:pPr>
                        <w:pStyle w:val="Caption1"/>
                        <w:jc w:val="center"/>
                        <w:rPr>
                          <w:rFonts w:ascii="Georgia" w:eastAsia="Arial Unicode MS" w:hAnsi="Georgia"/>
                          <w:noProof/>
                          <w:color w:val="auto"/>
                          <w:sz w:val="22"/>
                          <w:szCs w:val="22"/>
                        </w:rPr>
                      </w:pPr>
                      <w:r w:rsidRPr="0007644D">
                        <w:rPr>
                          <w:rFonts w:ascii="Georgia" w:hAnsi="Georgia"/>
                          <w:color w:val="auto"/>
                          <w:sz w:val="16"/>
                          <w:szCs w:val="16"/>
                        </w:rPr>
                        <w:t>Source: FactSet. As of October 31, 202</w:t>
                      </w:r>
                      <w:r>
                        <w:rPr>
                          <w:rFonts w:ascii="Georgia" w:hAnsi="Georgia"/>
                          <w:color w:val="auto"/>
                          <w:sz w:val="16"/>
                          <w:szCs w:val="16"/>
                        </w:rPr>
                        <w:t>5</w:t>
                      </w:r>
                    </w:p>
                  </w:txbxContent>
                </v:textbox>
                <w10:wrap type="topAndBottom" anchorx="page"/>
              </v:shape>
            </w:pict>
          </mc:Fallback>
        </mc:AlternateContent>
      </w:r>
      <w:r w:rsidRPr="00C7519C">
        <w:rPr>
          <w:noProof/>
        </w:rPr>
        <w:drawing>
          <wp:anchor distT="0" distB="0" distL="114300" distR="114300" simplePos="0" relativeHeight="251649024" behindDoc="0" locked="0" layoutInCell="1" allowOverlap="1" wp14:anchorId="306B3667" wp14:editId="59FF95B3">
            <wp:simplePos x="0" y="0"/>
            <wp:positionH relativeFrom="page">
              <wp:align>center</wp:align>
            </wp:positionH>
            <wp:positionV relativeFrom="paragraph">
              <wp:posOffset>513798</wp:posOffset>
            </wp:positionV>
            <wp:extent cx="2472690" cy="1510665"/>
            <wp:effectExtent l="0" t="0" r="3810" b="0"/>
            <wp:wrapTopAndBottom/>
            <wp:docPr id="21121779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2690" cy="1510665"/>
                    </a:xfrm>
                    <a:prstGeom prst="rect">
                      <a:avLst/>
                    </a:prstGeom>
                    <a:noFill/>
                    <a:ln>
                      <a:noFill/>
                    </a:ln>
                  </pic:spPr>
                </pic:pic>
              </a:graphicData>
            </a:graphic>
          </wp:anchor>
        </w:drawing>
      </w:r>
      <w:r w:rsidR="006928AE">
        <w:rPr>
          <w:rFonts w:ascii="Georgia" w:hAnsi="Georgia"/>
          <w:b/>
          <w:bCs/>
          <w:color w:val="002855"/>
          <w:sz w:val="20"/>
          <w:szCs w:val="20"/>
        </w:rPr>
        <w:t>TIPS:</w:t>
      </w:r>
      <w:r w:rsidR="00332AC8" w:rsidRPr="004E721E">
        <w:rPr>
          <w:rFonts w:ascii="Georgia" w:hAnsi="Georgia"/>
          <w:sz w:val="20"/>
          <w:szCs w:val="20"/>
        </w:rPr>
        <w:t xml:space="preserve"> </w:t>
      </w:r>
      <w:r w:rsidR="006928AE" w:rsidRPr="00F126C4">
        <w:rPr>
          <w:rFonts w:ascii="Georgia" w:hAnsi="Georgia"/>
          <w:sz w:val="20"/>
          <w:szCs w:val="20"/>
        </w:rPr>
        <w:t>As of October 31, 202</w:t>
      </w:r>
      <w:r w:rsidR="00DF666C" w:rsidRPr="00F126C4">
        <w:rPr>
          <w:rFonts w:ascii="Georgia" w:hAnsi="Georgia"/>
          <w:sz w:val="20"/>
          <w:szCs w:val="20"/>
        </w:rPr>
        <w:t>5</w:t>
      </w:r>
      <w:r w:rsidR="006928AE" w:rsidRPr="00F126C4">
        <w:rPr>
          <w:rFonts w:ascii="Georgia" w:hAnsi="Georgia"/>
          <w:sz w:val="20"/>
          <w:szCs w:val="20"/>
        </w:rPr>
        <w:t xml:space="preserve">, the Bloomberg U.S. TIPS Index had 48 issues (all U.S. Sovereign) with an average real yield of </w:t>
      </w:r>
      <w:r w:rsidR="00F126C4" w:rsidRPr="00F126C4">
        <w:rPr>
          <w:rFonts w:ascii="Georgia" w:hAnsi="Georgia"/>
          <w:sz w:val="20"/>
          <w:szCs w:val="20"/>
        </w:rPr>
        <w:t>1.74</w:t>
      </w:r>
      <w:r w:rsidR="006928AE" w:rsidRPr="00F126C4">
        <w:rPr>
          <w:rFonts w:ascii="Georgia" w:hAnsi="Georgia"/>
          <w:sz w:val="20"/>
          <w:szCs w:val="20"/>
        </w:rPr>
        <w:t>% and an average maturity of 7.3</w:t>
      </w:r>
      <w:r w:rsidR="00A56C32" w:rsidRPr="00F126C4">
        <w:rPr>
          <w:rFonts w:ascii="Georgia" w:hAnsi="Georgia"/>
          <w:sz w:val="20"/>
          <w:szCs w:val="20"/>
        </w:rPr>
        <w:t>2</w:t>
      </w:r>
      <w:r w:rsidR="006928AE" w:rsidRPr="00F126C4">
        <w:rPr>
          <w:rFonts w:ascii="Georgia" w:hAnsi="Georgia"/>
          <w:sz w:val="20"/>
          <w:szCs w:val="20"/>
        </w:rPr>
        <w:t xml:space="preserve"> years.</w:t>
      </w:r>
      <w:r w:rsidR="006C46CE" w:rsidRPr="00F126C4">
        <w:t xml:space="preserve"> </w:t>
      </w:r>
    </w:p>
    <w:p w14:paraId="13AA3F2F" w14:textId="6BADE4DC" w:rsidR="00DF0BE5" w:rsidRDefault="00DF0BE5" w:rsidP="006C46CE">
      <w:pPr>
        <w:spacing w:line="360" w:lineRule="auto"/>
        <w:ind w:left="-288"/>
        <w:rPr>
          <w:rFonts w:ascii="Georgia" w:hAnsi="Georgia"/>
          <w:sz w:val="20"/>
          <w:szCs w:val="20"/>
        </w:rPr>
      </w:pPr>
    </w:p>
    <w:p w14:paraId="744B3526" w14:textId="7D432332" w:rsidR="006C46CE" w:rsidRPr="004E70C4" w:rsidRDefault="006C46CE" w:rsidP="006C46CE">
      <w:pPr>
        <w:spacing w:line="360" w:lineRule="auto"/>
        <w:ind w:left="-288"/>
        <w:rPr>
          <w:rFonts w:ascii="Georgia" w:hAnsi="Georgia"/>
          <w:sz w:val="20"/>
          <w:szCs w:val="20"/>
        </w:rPr>
      </w:pPr>
      <w:r w:rsidRPr="004E70C4">
        <w:rPr>
          <w:rFonts w:ascii="Georgia" w:hAnsi="Georgia"/>
          <w:sz w:val="20"/>
          <w:szCs w:val="20"/>
        </w:rPr>
        <w:t>Combining the real yield of the Bloomberg Barclays Capital U.S. TIPS Index (</w:t>
      </w:r>
      <w:r w:rsidR="00F126C4" w:rsidRPr="004E70C4">
        <w:rPr>
          <w:rFonts w:ascii="Georgia" w:hAnsi="Georgia"/>
          <w:sz w:val="20"/>
          <w:szCs w:val="20"/>
        </w:rPr>
        <w:t>1.74</w:t>
      </w:r>
      <w:r w:rsidRPr="004E70C4">
        <w:rPr>
          <w:rFonts w:ascii="Georgia" w:hAnsi="Georgia"/>
          <w:sz w:val="20"/>
          <w:szCs w:val="20"/>
        </w:rPr>
        <w:t>%) with our forecasted inflation (2.3</w:t>
      </w:r>
      <w:r w:rsidR="004E70C4" w:rsidRPr="004E70C4">
        <w:rPr>
          <w:rFonts w:ascii="Georgia" w:hAnsi="Georgia"/>
          <w:sz w:val="20"/>
          <w:szCs w:val="20"/>
        </w:rPr>
        <w:t>0</w:t>
      </w:r>
      <w:r w:rsidRPr="004E70C4">
        <w:rPr>
          <w:rFonts w:ascii="Georgia" w:hAnsi="Georgia"/>
          <w:sz w:val="20"/>
          <w:szCs w:val="20"/>
        </w:rPr>
        <w:t>%) leads to an expected return of 4.</w:t>
      </w:r>
      <w:r w:rsidR="004E70C4" w:rsidRPr="004E70C4">
        <w:rPr>
          <w:rFonts w:ascii="Georgia" w:hAnsi="Georgia"/>
          <w:sz w:val="20"/>
          <w:szCs w:val="20"/>
        </w:rPr>
        <w:t>04</w:t>
      </w:r>
      <w:r w:rsidRPr="004E70C4">
        <w:rPr>
          <w:rFonts w:ascii="Georgia" w:hAnsi="Georgia"/>
          <w:sz w:val="20"/>
          <w:szCs w:val="20"/>
        </w:rPr>
        <w:t>%.</w:t>
      </w:r>
    </w:p>
    <w:p w14:paraId="77574B2C" w14:textId="1D3B5E56" w:rsidR="00332AC8" w:rsidRPr="004E70C4" w:rsidRDefault="006C46CE" w:rsidP="006C46CE">
      <w:pPr>
        <w:spacing w:line="360" w:lineRule="auto"/>
        <w:ind w:left="-288"/>
        <w:rPr>
          <w:rFonts w:ascii="Georgia" w:hAnsi="Georgia"/>
          <w:b/>
          <w:bCs/>
          <w:sz w:val="20"/>
          <w:szCs w:val="20"/>
        </w:rPr>
      </w:pPr>
      <w:r w:rsidRPr="004E70C4">
        <w:rPr>
          <w:rFonts w:ascii="Georgia" w:hAnsi="Georgia"/>
          <w:b/>
          <w:bCs/>
          <w:sz w:val="20"/>
          <w:szCs w:val="20"/>
        </w:rPr>
        <w:t>10-Year Forecast of Annualized Geometric Return: 4.</w:t>
      </w:r>
      <w:r w:rsidR="00A56C32" w:rsidRPr="004E70C4">
        <w:rPr>
          <w:rFonts w:ascii="Georgia" w:hAnsi="Georgia"/>
          <w:b/>
          <w:bCs/>
          <w:sz w:val="20"/>
          <w:szCs w:val="20"/>
        </w:rPr>
        <w:t>0</w:t>
      </w:r>
      <w:r w:rsidRPr="004E70C4">
        <w:rPr>
          <w:rFonts w:ascii="Georgia" w:hAnsi="Georgia"/>
          <w:b/>
          <w:bCs/>
          <w:sz w:val="20"/>
          <w:szCs w:val="20"/>
        </w:rPr>
        <w:t>%</w:t>
      </w:r>
    </w:p>
    <w:p w14:paraId="306385D8" w14:textId="77777777" w:rsidR="00A97D00" w:rsidRDefault="00A97D00" w:rsidP="00E735FD">
      <w:pPr>
        <w:spacing w:line="360" w:lineRule="auto"/>
        <w:ind w:left="-288"/>
        <w:rPr>
          <w:rFonts w:ascii="Georgia" w:hAnsi="Georgia"/>
          <w:b/>
          <w:bCs/>
          <w:color w:val="002855"/>
          <w:sz w:val="20"/>
          <w:szCs w:val="20"/>
        </w:rPr>
      </w:pPr>
    </w:p>
    <w:p w14:paraId="780AFFD3" w14:textId="76BDE0DD" w:rsidR="009E6E07" w:rsidRPr="0090583A" w:rsidRDefault="006C46CE" w:rsidP="00E735FD">
      <w:pPr>
        <w:spacing w:line="360" w:lineRule="auto"/>
        <w:ind w:left="-288"/>
        <w:rPr>
          <w:rFonts w:ascii="Georgia" w:hAnsi="Georgia"/>
          <w:sz w:val="20"/>
          <w:szCs w:val="20"/>
        </w:rPr>
      </w:pPr>
      <w:r>
        <w:rPr>
          <w:rFonts w:ascii="Georgia" w:hAnsi="Georgia"/>
          <w:b/>
          <w:bCs/>
          <w:color w:val="002855"/>
          <w:sz w:val="20"/>
          <w:szCs w:val="20"/>
        </w:rPr>
        <w:t>CASH</w:t>
      </w:r>
      <w:r w:rsidRPr="004E721E">
        <w:rPr>
          <w:rFonts w:ascii="Georgia" w:hAnsi="Georgia"/>
          <w:b/>
          <w:bCs/>
          <w:color w:val="002855"/>
          <w:sz w:val="20"/>
          <w:szCs w:val="20"/>
        </w:rPr>
        <w:t>:</w:t>
      </w:r>
      <w:r w:rsidRPr="004E721E">
        <w:rPr>
          <w:rFonts w:ascii="Georgia" w:hAnsi="Georgia"/>
          <w:sz w:val="20"/>
          <w:szCs w:val="20"/>
        </w:rPr>
        <w:t xml:space="preserve"> </w:t>
      </w:r>
      <w:r w:rsidR="00520ACB" w:rsidRPr="00520ACB">
        <w:rPr>
          <w:rFonts w:ascii="Georgia" w:hAnsi="Georgia"/>
          <w:sz w:val="20"/>
          <w:szCs w:val="20"/>
        </w:rPr>
        <w:t xml:space="preserve">We utilize a </w:t>
      </w:r>
      <w:r w:rsidR="005327E2" w:rsidRPr="00520ACB">
        <w:rPr>
          <w:rFonts w:ascii="Georgia" w:hAnsi="Georgia"/>
          <w:sz w:val="20"/>
          <w:szCs w:val="20"/>
        </w:rPr>
        <w:t>term premium methodology that we believe aligns our forecast with a 10-year outlook. Our</w:t>
      </w:r>
      <w:r w:rsidR="00520ACB" w:rsidRPr="00520ACB">
        <w:rPr>
          <w:rFonts w:ascii="Georgia" w:hAnsi="Georgia"/>
          <w:sz w:val="20"/>
          <w:szCs w:val="20"/>
        </w:rPr>
        <w:t xml:space="preserve"> </w:t>
      </w:r>
      <w:r w:rsidR="005327E2" w:rsidRPr="00520ACB">
        <w:rPr>
          <w:rFonts w:ascii="Georgia" w:hAnsi="Georgia"/>
          <w:sz w:val="20"/>
          <w:szCs w:val="20"/>
        </w:rPr>
        <w:t>cash forecast takes the current 10-year Treasury yield and discounts the yield by the 40-year historical average term premium between the 10-year Treasury Bond yield and the 3-month Treasury Bill yield (10-year yield less 3-month yield). Additionally, we have put a floor on this assumption at 0.</w:t>
      </w:r>
      <w:r w:rsidR="005327E2" w:rsidRPr="0090583A">
        <w:rPr>
          <w:rFonts w:ascii="Georgia" w:hAnsi="Georgia"/>
          <w:sz w:val="20"/>
          <w:szCs w:val="20"/>
        </w:rPr>
        <w:t>0%. As of October 31, 202</w:t>
      </w:r>
      <w:r w:rsidR="00B545BA" w:rsidRPr="0090583A">
        <w:rPr>
          <w:rFonts w:ascii="Georgia" w:hAnsi="Georgia"/>
          <w:sz w:val="20"/>
          <w:szCs w:val="20"/>
        </w:rPr>
        <w:t>5</w:t>
      </w:r>
      <w:r w:rsidR="005327E2" w:rsidRPr="0090583A">
        <w:rPr>
          <w:rFonts w:ascii="Georgia" w:hAnsi="Georgia"/>
          <w:sz w:val="20"/>
          <w:szCs w:val="20"/>
        </w:rPr>
        <w:t>, the 10-year yield was 4.</w:t>
      </w:r>
      <w:r w:rsidR="0090583A">
        <w:rPr>
          <w:rFonts w:ascii="Georgia" w:hAnsi="Georgia"/>
          <w:sz w:val="20"/>
          <w:szCs w:val="20"/>
        </w:rPr>
        <w:t>1</w:t>
      </w:r>
      <w:r w:rsidR="005327E2" w:rsidRPr="0090583A">
        <w:rPr>
          <w:rFonts w:ascii="Georgia" w:hAnsi="Georgia"/>
          <w:sz w:val="20"/>
          <w:szCs w:val="20"/>
        </w:rPr>
        <w:t>% and the historical average term premium was 1.</w:t>
      </w:r>
      <w:r w:rsidR="0090583A" w:rsidRPr="0090583A">
        <w:rPr>
          <w:rFonts w:ascii="Georgia" w:hAnsi="Georgia"/>
          <w:sz w:val="20"/>
          <w:szCs w:val="20"/>
        </w:rPr>
        <w:t>5</w:t>
      </w:r>
      <w:r w:rsidR="005327E2" w:rsidRPr="0090583A">
        <w:rPr>
          <w:rFonts w:ascii="Georgia" w:hAnsi="Georgia"/>
          <w:sz w:val="20"/>
          <w:szCs w:val="20"/>
        </w:rPr>
        <w:t>%. Our expected geometric return forecast is 2.</w:t>
      </w:r>
      <w:r w:rsidR="0090583A" w:rsidRPr="0090583A">
        <w:rPr>
          <w:rFonts w:ascii="Georgia" w:hAnsi="Georgia"/>
          <w:sz w:val="20"/>
          <w:szCs w:val="20"/>
        </w:rPr>
        <w:t>6</w:t>
      </w:r>
      <w:r w:rsidR="005327E2" w:rsidRPr="0090583A">
        <w:rPr>
          <w:rFonts w:ascii="Georgia" w:hAnsi="Georgia"/>
          <w:sz w:val="20"/>
          <w:szCs w:val="20"/>
        </w:rPr>
        <w:t>%.</w:t>
      </w:r>
    </w:p>
    <w:p w14:paraId="5F4A0303" w14:textId="77777777" w:rsidR="00953787" w:rsidRPr="0090583A" w:rsidRDefault="00953787" w:rsidP="00E735FD">
      <w:pPr>
        <w:spacing w:line="360" w:lineRule="auto"/>
        <w:ind w:left="-288"/>
        <w:rPr>
          <w:rFonts w:ascii="Georgia" w:hAnsi="Georgia"/>
          <w:sz w:val="20"/>
          <w:szCs w:val="20"/>
        </w:rPr>
      </w:pPr>
    </w:p>
    <w:p w14:paraId="73E92454" w14:textId="77777777" w:rsidR="005F1CA1" w:rsidRPr="00724582" w:rsidRDefault="005F1CA1" w:rsidP="005F1CA1">
      <w:pPr>
        <w:spacing w:line="360" w:lineRule="auto"/>
        <w:ind w:left="-288"/>
        <w:rPr>
          <w:rFonts w:ascii="Georgia" w:hAnsi="Georgia"/>
          <w:b/>
          <w:bCs/>
          <w:sz w:val="20"/>
          <w:szCs w:val="20"/>
          <w:u w:val="single"/>
        </w:rPr>
      </w:pPr>
      <w:r w:rsidRPr="00724582">
        <w:rPr>
          <w:rFonts w:ascii="Georgia" w:hAnsi="Georgia"/>
          <w:b/>
          <w:bCs/>
          <w:sz w:val="20"/>
          <w:szCs w:val="20"/>
          <w:u w:val="single"/>
        </w:rPr>
        <w:t>Cash Term Premium Method: (YLD) - (TERM)</w:t>
      </w:r>
    </w:p>
    <w:p w14:paraId="52239BBB" w14:textId="73DE925D" w:rsidR="005F1CA1" w:rsidRPr="0090583A" w:rsidRDefault="005F1CA1" w:rsidP="005F1CA1">
      <w:pPr>
        <w:spacing w:line="360" w:lineRule="auto"/>
        <w:ind w:left="-288"/>
        <w:rPr>
          <w:rFonts w:ascii="Georgia" w:hAnsi="Georgia"/>
          <w:sz w:val="20"/>
          <w:szCs w:val="20"/>
        </w:rPr>
      </w:pPr>
      <w:r w:rsidRPr="0090583A">
        <w:rPr>
          <w:rFonts w:ascii="Georgia" w:hAnsi="Georgia"/>
          <w:sz w:val="20"/>
          <w:szCs w:val="20"/>
        </w:rPr>
        <w:t>10-Year Forecast (202</w:t>
      </w:r>
      <w:r w:rsidR="0090583A" w:rsidRPr="0090583A">
        <w:rPr>
          <w:rFonts w:ascii="Georgia" w:hAnsi="Georgia"/>
          <w:sz w:val="20"/>
          <w:szCs w:val="20"/>
        </w:rPr>
        <w:t>6</w:t>
      </w:r>
      <w:r w:rsidRPr="0090583A">
        <w:rPr>
          <w:rFonts w:ascii="Georgia" w:hAnsi="Georgia"/>
          <w:sz w:val="20"/>
          <w:szCs w:val="20"/>
        </w:rPr>
        <w:t xml:space="preserve"> - 203</w:t>
      </w:r>
      <w:r w:rsidR="0090583A" w:rsidRPr="0090583A">
        <w:rPr>
          <w:rFonts w:ascii="Georgia" w:hAnsi="Georgia"/>
          <w:sz w:val="20"/>
          <w:szCs w:val="20"/>
        </w:rPr>
        <w:t>5</w:t>
      </w:r>
      <w:r w:rsidRPr="0090583A">
        <w:rPr>
          <w:rFonts w:ascii="Georgia" w:hAnsi="Georgia"/>
          <w:sz w:val="20"/>
          <w:szCs w:val="20"/>
        </w:rPr>
        <w:t>): 4.</w:t>
      </w:r>
      <w:r w:rsidR="0090583A" w:rsidRPr="0090583A">
        <w:rPr>
          <w:rFonts w:ascii="Georgia" w:hAnsi="Georgia"/>
          <w:sz w:val="20"/>
          <w:szCs w:val="20"/>
        </w:rPr>
        <w:t>1</w:t>
      </w:r>
      <w:r w:rsidRPr="0090583A">
        <w:rPr>
          <w:rFonts w:ascii="Georgia" w:hAnsi="Georgia"/>
          <w:sz w:val="20"/>
          <w:szCs w:val="20"/>
        </w:rPr>
        <w:t>% - 1.</w:t>
      </w:r>
      <w:r w:rsidR="0090583A" w:rsidRPr="0090583A">
        <w:rPr>
          <w:rFonts w:ascii="Georgia" w:hAnsi="Georgia"/>
          <w:sz w:val="20"/>
          <w:szCs w:val="20"/>
        </w:rPr>
        <w:t>5</w:t>
      </w:r>
      <w:r w:rsidRPr="0090583A">
        <w:rPr>
          <w:rFonts w:ascii="Georgia" w:hAnsi="Georgia"/>
          <w:sz w:val="20"/>
          <w:szCs w:val="20"/>
        </w:rPr>
        <w:t>% = 2.</w:t>
      </w:r>
      <w:r w:rsidR="0090583A" w:rsidRPr="0090583A">
        <w:rPr>
          <w:rFonts w:ascii="Georgia" w:hAnsi="Georgia"/>
          <w:sz w:val="20"/>
          <w:szCs w:val="20"/>
        </w:rPr>
        <w:t>6</w:t>
      </w:r>
      <w:r w:rsidRPr="0090583A">
        <w:rPr>
          <w:rFonts w:ascii="Georgia" w:hAnsi="Georgia"/>
          <w:sz w:val="20"/>
          <w:szCs w:val="20"/>
        </w:rPr>
        <w:t>%</w:t>
      </w:r>
    </w:p>
    <w:p w14:paraId="3B1A4075" w14:textId="6F2C9CAA" w:rsidR="005F1CA1" w:rsidRPr="00724582" w:rsidRDefault="005F1CA1" w:rsidP="00724582">
      <w:pPr>
        <w:pStyle w:val="ListParagraph"/>
        <w:numPr>
          <w:ilvl w:val="0"/>
          <w:numId w:val="3"/>
        </w:numPr>
        <w:spacing w:line="360" w:lineRule="auto"/>
        <w:rPr>
          <w:rFonts w:ascii="Georgia" w:hAnsi="Georgia"/>
          <w:sz w:val="20"/>
          <w:szCs w:val="20"/>
        </w:rPr>
      </w:pPr>
      <w:r w:rsidRPr="00724582">
        <w:rPr>
          <w:rFonts w:ascii="Georgia" w:hAnsi="Georgia"/>
          <w:sz w:val="20"/>
          <w:szCs w:val="20"/>
        </w:rPr>
        <w:t>YLD = Yield of 10-year U.S. Treasury Bond</w:t>
      </w:r>
    </w:p>
    <w:p w14:paraId="79279514" w14:textId="508081CC" w:rsidR="005F1CA1" w:rsidRPr="00724582" w:rsidRDefault="005F1CA1" w:rsidP="00724582">
      <w:pPr>
        <w:pStyle w:val="ListParagraph"/>
        <w:numPr>
          <w:ilvl w:val="0"/>
          <w:numId w:val="3"/>
        </w:numPr>
        <w:spacing w:line="360" w:lineRule="auto"/>
        <w:rPr>
          <w:rFonts w:ascii="Georgia" w:hAnsi="Georgia"/>
          <w:sz w:val="20"/>
          <w:szCs w:val="20"/>
        </w:rPr>
      </w:pPr>
      <w:r w:rsidRPr="00724582">
        <w:rPr>
          <w:rFonts w:ascii="Georgia" w:hAnsi="Georgia"/>
          <w:sz w:val="20"/>
          <w:szCs w:val="20"/>
        </w:rPr>
        <w:t>TERM = 40-year historical average spread between 10-year Treasury Bond yield and 3-month Treasury Bill yield.</w:t>
      </w:r>
    </w:p>
    <w:p w14:paraId="1F661C2C" w14:textId="5BA14067" w:rsidR="00953787" w:rsidRPr="00044623" w:rsidRDefault="005F1CA1" w:rsidP="005F1CA1">
      <w:pPr>
        <w:spacing w:line="360" w:lineRule="auto"/>
        <w:ind w:left="-288"/>
        <w:rPr>
          <w:rFonts w:ascii="Georgia" w:hAnsi="Georgia"/>
          <w:b/>
          <w:bCs/>
          <w:sz w:val="20"/>
          <w:szCs w:val="20"/>
        </w:rPr>
      </w:pPr>
      <w:r w:rsidRPr="00044623">
        <w:rPr>
          <w:rFonts w:ascii="Georgia" w:hAnsi="Georgia"/>
          <w:b/>
          <w:bCs/>
          <w:sz w:val="20"/>
          <w:szCs w:val="20"/>
        </w:rPr>
        <w:t>10-Year Forecast of Annualized Geometric Return: 2.</w:t>
      </w:r>
      <w:r w:rsidR="0090583A" w:rsidRPr="00044623">
        <w:rPr>
          <w:rFonts w:ascii="Georgia" w:hAnsi="Georgia"/>
          <w:b/>
          <w:bCs/>
          <w:sz w:val="20"/>
          <w:szCs w:val="20"/>
        </w:rPr>
        <w:t>6</w:t>
      </w:r>
      <w:r w:rsidRPr="00044623">
        <w:rPr>
          <w:rFonts w:ascii="Georgia" w:hAnsi="Georgia"/>
          <w:b/>
          <w:bCs/>
          <w:sz w:val="20"/>
          <w:szCs w:val="20"/>
        </w:rPr>
        <w:t>%</w:t>
      </w:r>
    </w:p>
    <w:p w14:paraId="3E06456D" w14:textId="77777777" w:rsidR="00953787" w:rsidRDefault="00953787" w:rsidP="00E735FD">
      <w:pPr>
        <w:spacing w:line="360" w:lineRule="auto"/>
        <w:ind w:left="-288"/>
        <w:rPr>
          <w:rFonts w:ascii="Georgia" w:hAnsi="Georgia"/>
          <w:sz w:val="20"/>
          <w:szCs w:val="20"/>
        </w:rPr>
      </w:pPr>
    </w:p>
    <w:p w14:paraId="54B936C7" w14:textId="51FA683B" w:rsidR="00520ACB" w:rsidRPr="00D92097" w:rsidRDefault="006C46CE" w:rsidP="00520ACB">
      <w:pPr>
        <w:spacing w:line="360" w:lineRule="auto"/>
        <w:ind w:left="-288"/>
        <w:rPr>
          <w:rFonts w:ascii="Georgia" w:hAnsi="Georgia"/>
          <w:sz w:val="20"/>
          <w:szCs w:val="20"/>
        </w:rPr>
      </w:pPr>
      <w:r>
        <w:rPr>
          <w:rFonts w:ascii="Georgia" w:hAnsi="Georgia"/>
          <w:b/>
          <w:bCs/>
          <w:color w:val="002855"/>
          <w:sz w:val="20"/>
          <w:szCs w:val="20"/>
        </w:rPr>
        <w:t>SHORT TERM BONDS</w:t>
      </w:r>
      <w:r w:rsidRPr="004E721E">
        <w:rPr>
          <w:rFonts w:ascii="Georgia" w:hAnsi="Georgia"/>
          <w:b/>
          <w:bCs/>
          <w:color w:val="002855"/>
          <w:sz w:val="20"/>
          <w:szCs w:val="20"/>
        </w:rPr>
        <w:t>:</w:t>
      </w:r>
      <w:r w:rsidRPr="004E721E">
        <w:rPr>
          <w:rFonts w:ascii="Georgia" w:hAnsi="Georgia"/>
          <w:sz w:val="20"/>
          <w:szCs w:val="20"/>
        </w:rPr>
        <w:t xml:space="preserve"> </w:t>
      </w:r>
      <w:r w:rsidR="00520ACB" w:rsidRPr="007E5340">
        <w:rPr>
          <w:rFonts w:ascii="Georgia" w:hAnsi="Georgia"/>
          <w:sz w:val="20"/>
          <w:szCs w:val="20"/>
        </w:rPr>
        <w:t>The historical duration of the asset class has been steady at approximately two years, which is calculated using blended return assumptions for cash and U.S. investment-grade fixed income. The blended return comes two-</w:t>
      </w:r>
      <w:r w:rsidR="00520ACB" w:rsidRPr="00D92097">
        <w:rPr>
          <w:rFonts w:ascii="Georgia" w:hAnsi="Georgia"/>
          <w:sz w:val="20"/>
          <w:szCs w:val="20"/>
        </w:rPr>
        <w:t>thirds from cash and one third from U.S. Investment Grade Fixed Income. Our expected geometric return forecast is 3.</w:t>
      </w:r>
      <w:r w:rsidR="00D92097" w:rsidRPr="00D92097">
        <w:rPr>
          <w:rFonts w:ascii="Georgia" w:hAnsi="Georgia"/>
          <w:sz w:val="20"/>
          <w:szCs w:val="20"/>
        </w:rPr>
        <w:t>25</w:t>
      </w:r>
      <w:r w:rsidR="00520ACB" w:rsidRPr="00D92097">
        <w:rPr>
          <w:rFonts w:ascii="Georgia" w:hAnsi="Georgia"/>
          <w:sz w:val="20"/>
          <w:szCs w:val="20"/>
        </w:rPr>
        <w:t>%.</w:t>
      </w:r>
    </w:p>
    <w:p w14:paraId="472D1EC3" w14:textId="053C4F36" w:rsidR="006C46CE" w:rsidRPr="00D92097" w:rsidRDefault="00520ACB" w:rsidP="00520ACB">
      <w:pPr>
        <w:spacing w:line="360" w:lineRule="auto"/>
        <w:ind w:left="-288"/>
        <w:rPr>
          <w:rFonts w:ascii="Georgia" w:hAnsi="Georgia"/>
          <w:b/>
          <w:bCs/>
          <w:sz w:val="20"/>
          <w:szCs w:val="20"/>
        </w:rPr>
      </w:pPr>
      <w:r w:rsidRPr="00D92097">
        <w:rPr>
          <w:rFonts w:ascii="Georgia" w:hAnsi="Georgia"/>
          <w:b/>
          <w:bCs/>
          <w:sz w:val="20"/>
          <w:szCs w:val="20"/>
        </w:rPr>
        <w:t xml:space="preserve">10-Year Forecast </w:t>
      </w:r>
      <w:proofErr w:type="gramStart"/>
      <w:r w:rsidRPr="00D92097">
        <w:rPr>
          <w:rFonts w:ascii="Georgia" w:hAnsi="Georgia"/>
          <w:b/>
          <w:bCs/>
          <w:sz w:val="20"/>
          <w:szCs w:val="20"/>
        </w:rPr>
        <w:t>of</w:t>
      </w:r>
      <w:proofErr w:type="gramEnd"/>
      <w:r w:rsidRPr="00D92097">
        <w:rPr>
          <w:rFonts w:ascii="Georgia" w:hAnsi="Georgia"/>
          <w:b/>
          <w:bCs/>
          <w:sz w:val="20"/>
          <w:szCs w:val="20"/>
        </w:rPr>
        <w:t xml:space="preserve"> Annualized Geometric Return: 3.</w:t>
      </w:r>
      <w:r w:rsidR="006A3135" w:rsidRPr="00D92097">
        <w:rPr>
          <w:rFonts w:ascii="Georgia" w:hAnsi="Georgia"/>
          <w:b/>
          <w:bCs/>
          <w:sz w:val="20"/>
          <w:szCs w:val="20"/>
        </w:rPr>
        <w:t>3</w:t>
      </w:r>
      <w:r w:rsidRPr="00D92097">
        <w:rPr>
          <w:rFonts w:ascii="Georgia" w:hAnsi="Georgia"/>
          <w:b/>
          <w:bCs/>
          <w:sz w:val="20"/>
          <w:szCs w:val="20"/>
        </w:rPr>
        <w:t>%</w:t>
      </w:r>
    </w:p>
    <w:p w14:paraId="34E21A57" w14:textId="77777777" w:rsidR="007E5340" w:rsidRDefault="007E5340" w:rsidP="007E5340">
      <w:pPr>
        <w:spacing w:line="360" w:lineRule="auto"/>
        <w:ind w:left="-288"/>
        <w:rPr>
          <w:rFonts w:ascii="Georgia" w:hAnsi="Georgia"/>
          <w:i/>
          <w:iCs/>
          <w:color w:val="EE0000"/>
          <w:sz w:val="16"/>
          <w:szCs w:val="16"/>
        </w:rPr>
      </w:pPr>
    </w:p>
    <w:p w14:paraId="0D14A5B6" w14:textId="79DD2BB1" w:rsidR="007E5340" w:rsidRPr="008D289C" w:rsidRDefault="007E5340" w:rsidP="007E5340">
      <w:pPr>
        <w:spacing w:line="360" w:lineRule="auto"/>
        <w:ind w:left="-288"/>
        <w:rPr>
          <w:rFonts w:ascii="Georgia" w:hAnsi="Georgia"/>
          <w:i/>
          <w:iCs/>
          <w:sz w:val="16"/>
          <w:szCs w:val="16"/>
        </w:rPr>
      </w:pPr>
      <w:r w:rsidRPr="008D289C">
        <w:rPr>
          <w:rFonts w:ascii="Georgia" w:hAnsi="Georgia"/>
          <w:i/>
          <w:iCs/>
          <w:sz w:val="16"/>
          <w:szCs w:val="16"/>
        </w:rPr>
        <w:t xml:space="preserve">Use of Indices and Benchmark Return Indices cannot be </w:t>
      </w:r>
      <w:proofErr w:type="gramStart"/>
      <w:r w:rsidRPr="008D289C">
        <w:rPr>
          <w:rFonts w:ascii="Georgia" w:hAnsi="Georgia"/>
          <w:i/>
          <w:iCs/>
          <w:sz w:val="16"/>
          <w:szCs w:val="16"/>
        </w:rPr>
        <w:t>invested in</w:t>
      </w:r>
      <w:proofErr w:type="gramEnd"/>
      <w:r w:rsidRPr="008D289C">
        <w:rPr>
          <w:rFonts w:ascii="Georgia" w:hAnsi="Georgia"/>
          <w:i/>
          <w:iCs/>
          <w:sz w:val="16"/>
          <w:szCs w:val="16"/>
        </w:rPr>
        <w:t xml:space="preserve"> directly. Index performance is reported gross of fees and expenses and assumes the reinvest dividends and capital gains. Past performance does not indicate future performance and there is a possibility of a loss. See disclosure page for indices representing each asset class.</w:t>
      </w:r>
    </w:p>
    <w:p w14:paraId="123255A1" w14:textId="09D21F2A" w:rsidR="007E5340" w:rsidRPr="00CF38A4" w:rsidRDefault="00CF38A4" w:rsidP="007E5340">
      <w:pPr>
        <w:spacing w:line="360" w:lineRule="auto"/>
        <w:ind w:left="-288"/>
        <w:rPr>
          <w:rFonts w:ascii="Georgia" w:hAnsi="Georgia"/>
          <w:sz w:val="20"/>
          <w:szCs w:val="20"/>
        </w:rPr>
      </w:pPr>
      <w:r w:rsidRPr="0007644D">
        <w:rPr>
          <w:rFonts w:ascii="Georgia" w:eastAsia="MS Mincho" w:hAnsi="Georgia" w:cs="Times New Roman"/>
          <w:noProof/>
        </w:rPr>
        <w:lastRenderedPageBreak/>
        <mc:AlternateContent>
          <mc:Choice Requires="wps">
            <w:drawing>
              <wp:anchor distT="0" distB="0" distL="114300" distR="114300" simplePos="0" relativeHeight="251652096" behindDoc="0" locked="0" layoutInCell="1" allowOverlap="1" wp14:anchorId="29CE3F4B" wp14:editId="1E181FE1">
                <wp:simplePos x="0" y="0"/>
                <wp:positionH relativeFrom="page">
                  <wp:align>center</wp:align>
                </wp:positionH>
                <wp:positionV relativeFrom="paragraph">
                  <wp:posOffset>2334895</wp:posOffset>
                </wp:positionV>
                <wp:extent cx="2463800" cy="173355"/>
                <wp:effectExtent l="0" t="0" r="0" b="0"/>
                <wp:wrapTopAndBottom/>
                <wp:docPr id="1786575306" name="Text Box 1786575306"/>
                <wp:cNvGraphicFramePr/>
                <a:graphic xmlns:a="http://schemas.openxmlformats.org/drawingml/2006/main">
                  <a:graphicData uri="http://schemas.microsoft.com/office/word/2010/wordprocessingShape">
                    <wps:wsp>
                      <wps:cNvSpPr txBox="1"/>
                      <wps:spPr>
                        <a:xfrm>
                          <a:off x="0" y="0"/>
                          <a:ext cx="2463800" cy="173355"/>
                        </a:xfrm>
                        <a:prstGeom prst="rect">
                          <a:avLst/>
                        </a:prstGeom>
                        <a:solidFill>
                          <a:prstClr val="white"/>
                        </a:solidFill>
                        <a:ln>
                          <a:noFill/>
                        </a:ln>
                      </wps:spPr>
                      <wps:txbx>
                        <w:txbxContent>
                          <w:p w14:paraId="7D28FDFB" w14:textId="77777777" w:rsidR="00CF38A4" w:rsidRPr="0007644D" w:rsidRDefault="00CF38A4" w:rsidP="00CF38A4">
                            <w:pPr>
                              <w:pStyle w:val="Caption1"/>
                              <w:jc w:val="center"/>
                              <w:rPr>
                                <w:rFonts w:ascii="Georgia" w:eastAsia="Arial Unicode MS" w:hAnsi="Georgia"/>
                                <w:noProof/>
                                <w:color w:val="auto"/>
                                <w:sz w:val="22"/>
                                <w:szCs w:val="22"/>
                              </w:rPr>
                            </w:pPr>
                            <w:r w:rsidRPr="0007644D">
                              <w:rPr>
                                <w:rFonts w:ascii="Georgia" w:hAnsi="Georgia"/>
                                <w:color w:val="auto"/>
                                <w:sz w:val="16"/>
                                <w:szCs w:val="16"/>
                              </w:rPr>
                              <w:t>Source: FactSet. As of October 31, 202</w:t>
                            </w:r>
                            <w:r>
                              <w:rPr>
                                <w:rFonts w:ascii="Georgia" w:hAnsi="Georgia"/>
                                <w:color w:val="auto"/>
                                <w:sz w:val="16"/>
                                <w:szCs w:val="1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E3F4B" id="Text Box 1786575306" o:spid="_x0000_s1030" type="#_x0000_t202" style="position:absolute;left:0;text-align:left;margin-left:0;margin-top:183.85pt;width:194pt;height:13.65pt;z-index:2516520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" stroked="f">
                <v:textbox inset="0,0,0,0">
                  <w:txbxContent>
                    <w:p w14:paraId="7D28FDFB" w14:textId="77777777" w:rsidR="00CF38A4" w:rsidRPr="0007644D" w:rsidRDefault="00CF38A4" w:rsidP="00CF38A4">
                      <w:pPr>
                        <w:pStyle w:val="Caption1"/>
                        <w:jc w:val="center"/>
                        <w:rPr>
                          <w:rFonts w:ascii="Georgia" w:eastAsia="Arial Unicode MS" w:hAnsi="Georgia"/>
                          <w:noProof/>
                          <w:color w:val="auto"/>
                          <w:sz w:val="22"/>
                          <w:szCs w:val="22"/>
                        </w:rPr>
                      </w:pPr>
                      <w:r w:rsidRPr="0007644D">
                        <w:rPr>
                          <w:rFonts w:ascii="Georgia" w:hAnsi="Georgia"/>
                          <w:color w:val="auto"/>
                          <w:sz w:val="16"/>
                          <w:szCs w:val="16"/>
                        </w:rPr>
                        <w:t>Source: FactSet. As of October 31, 202</w:t>
                      </w:r>
                      <w:r>
                        <w:rPr>
                          <w:rFonts w:ascii="Georgia" w:hAnsi="Georgia"/>
                          <w:color w:val="auto"/>
                          <w:sz w:val="16"/>
                          <w:szCs w:val="16"/>
                        </w:rPr>
                        <w:t>5</w:t>
                      </w:r>
                    </w:p>
                  </w:txbxContent>
                </v:textbox>
                <w10:wrap type="topAndBottom" anchorx="page"/>
              </v:shape>
            </w:pict>
          </mc:Fallback>
        </mc:AlternateContent>
      </w:r>
      <w:r w:rsidRPr="00CF38A4">
        <w:rPr>
          <w:noProof/>
        </w:rPr>
        <w:drawing>
          <wp:anchor distT="0" distB="0" distL="114300" distR="114300" simplePos="0" relativeHeight="251651072" behindDoc="0" locked="0" layoutInCell="1" allowOverlap="1" wp14:anchorId="3251C6AE" wp14:editId="277328AC">
            <wp:simplePos x="0" y="0"/>
            <wp:positionH relativeFrom="page">
              <wp:align>center</wp:align>
            </wp:positionH>
            <wp:positionV relativeFrom="paragraph">
              <wp:posOffset>723071</wp:posOffset>
            </wp:positionV>
            <wp:extent cx="2472690" cy="1574165"/>
            <wp:effectExtent l="0" t="0" r="3810" b="6985"/>
            <wp:wrapTopAndBottom/>
            <wp:docPr id="925686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2690" cy="1574165"/>
                    </a:xfrm>
                    <a:prstGeom prst="rect">
                      <a:avLst/>
                    </a:prstGeom>
                    <a:noFill/>
                    <a:ln>
                      <a:noFill/>
                    </a:ln>
                  </pic:spPr>
                </pic:pic>
              </a:graphicData>
            </a:graphic>
          </wp:anchor>
        </w:drawing>
      </w:r>
      <w:r w:rsidR="004B543A" w:rsidRPr="004B543A">
        <w:rPr>
          <w:rFonts w:ascii="Georgia" w:hAnsi="Georgia"/>
          <w:b/>
          <w:bCs/>
          <w:color w:val="002855"/>
          <w:sz w:val="20"/>
          <w:szCs w:val="20"/>
        </w:rPr>
        <w:t>U.S. TAX-EXEMPT (MUNICIPAL) FIXED INCOME</w:t>
      </w:r>
      <w:r w:rsidR="007E5340" w:rsidRPr="004E721E">
        <w:rPr>
          <w:rFonts w:ascii="Georgia" w:hAnsi="Georgia"/>
          <w:b/>
          <w:bCs/>
          <w:color w:val="002855"/>
          <w:sz w:val="20"/>
          <w:szCs w:val="20"/>
        </w:rPr>
        <w:t>:</w:t>
      </w:r>
      <w:r w:rsidR="007E5340" w:rsidRPr="004E721E">
        <w:rPr>
          <w:rFonts w:ascii="Georgia" w:hAnsi="Georgia"/>
          <w:sz w:val="20"/>
          <w:szCs w:val="20"/>
        </w:rPr>
        <w:t xml:space="preserve"> </w:t>
      </w:r>
      <w:r w:rsidR="00FF3714" w:rsidRPr="00CF38A4">
        <w:rPr>
          <w:rFonts w:ascii="Georgia" w:hAnsi="Georgia"/>
          <w:sz w:val="20"/>
          <w:szCs w:val="20"/>
        </w:rPr>
        <w:t>As of October 31, 202</w:t>
      </w:r>
      <w:r w:rsidR="007034B0" w:rsidRPr="00CF38A4">
        <w:rPr>
          <w:rFonts w:ascii="Georgia" w:hAnsi="Georgia"/>
          <w:sz w:val="20"/>
          <w:szCs w:val="20"/>
        </w:rPr>
        <w:t>5</w:t>
      </w:r>
      <w:r w:rsidR="00FF3714" w:rsidRPr="00CF38A4">
        <w:rPr>
          <w:rFonts w:ascii="Georgia" w:hAnsi="Georgia"/>
          <w:sz w:val="20"/>
          <w:szCs w:val="20"/>
        </w:rPr>
        <w:t>, the Bloomberg Municipal Bond 5-Year Index had 6,</w:t>
      </w:r>
      <w:r w:rsidRPr="00CF38A4">
        <w:rPr>
          <w:rFonts w:ascii="Georgia" w:hAnsi="Georgia"/>
          <w:sz w:val="20"/>
          <w:szCs w:val="20"/>
        </w:rPr>
        <w:t>633</w:t>
      </w:r>
      <w:r w:rsidR="00FF3714" w:rsidRPr="00CF38A4">
        <w:rPr>
          <w:rFonts w:ascii="Georgia" w:hAnsi="Georgia"/>
          <w:sz w:val="20"/>
          <w:szCs w:val="20"/>
        </w:rPr>
        <w:t xml:space="preserve"> issues with an average maturity of 4.9</w:t>
      </w:r>
      <w:r w:rsidRPr="00CF38A4">
        <w:rPr>
          <w:rFonts w:ascii="Georgia" w:hAnsi="Georgia"/>
          <w:sz w:val="20"/>
          <w:szCs w:val="20"/>
        </w:rPr>
        <w:t>6</w:t>
      </w:r>
      <w:r w:rsidR="00FF3714" w:rsidRPr="00CF38A4">
        <w:rPr>
          <w:rFonts w:ascii="Georgia" w:hAnsi="Georgia"/>
          <w:sz w:val="20"/>
          <w:szCs w:val="20"/>
        </w:rPr>
        <w:t xml:space="preserve"> years and an average duration of 3.6</w:t>
      </w:r>
      <w:r w:rsidRPr="00CF38A4">
        <w:rPr>
          <w:rFonts w:ascii="Georgia" w:hAnsi="Georgia"/>
          <w:sz w:val="20"/>
          <w:szCs w:val="20"/>
        </w:rPr>
        <w:t>4</w:t>
      </w:r>
      <w:r w:rsidR="00FF3714" w:rsidRPr="00CF38A4">
        <w:rPr>
          <w:rFonts w:ascii="Georgia" w:hAnsi="Georgia"/>
          <w:sz w:val="20"/>
          <w:szCs w:val="20"/>
        </w:rPr>
        <w:t xml:space="preserve"> years. The index is investment-grade rated.</w:t>
      </w:r>
    </w:p>
    <w:p w14:paraId="7B4B8B2C" w14:textId="44ACBBD6" w:rsidR="007E5340" w:rsidRPr="00CF38A4" w:rsidRDefault="007E5340" w:rsidP="007E5340">
      <w:pPr>
        <w:spacing w:line="360" w:lineRule="auto"/>
        <w:ind w:left="-288"/>
        <w:rPr>
          <w:rFonts w:ascii="Georgia" w:hAnsi="Georgia"/>
          <w:sz w:val="20"/>
          <w:szCs w:val="20"/>
        </w:rPr>
      </w:pPr>
    </w:p>
    <w:p w14:paraId="7E62529F" w14:textId="24A9191D" w:rsidR="00875C2A" w:rsidRPr="00597B83" w:rsidRDefault="00875C2A" w:rsidP="00875C2A">
      <w:pPr>
        <w:spacing w:line="360" w:lineRule="auto"/>
        <w:ind w:left="-288"/>
        <w:rPr>
          <w:rFonts w:ascii="Georgia" w:hAnsi="Georgia"/>
          <w:sz w:val="20"/>
          <w:szCs w:val="20"/>
        </w:rPr>
      </w:pPr>
      <w:r w:rsidRPr="00CF38A4">
        <w:rPr>
          <w:rFonts w:ascii="Georgia" w:hAnsi="Georgia"/>
          <w:sz w:val="20"/>
          <w:szCs w:val="20"/>
        </w:rPr>
        <w:t xml:space="preserve">Our tax-adjusted return forecast for the Bloomberg Municipal Bond 5-Year </w:t>
      </w:r>
      <w:r w:rsidRPr="00597B83">
        <w:rPr>
          <w:rFonts w:ascii="Georgia" w:hAnsi="Georgia"/>
          <w:sz w:val="20"/>
          <w:szCs w:val="20"/>
        </w:rPr>
        <w:t xml:space="preserve">Index is found by dividing the current yield to worst by one minus the highest marginal federal tax </w:t>
      </w:r>
      <w:proofErr w:type="gramStart"/>
      <w:r w:rsidRPr="00597B83">
        <w:rPr>
          <w:rFonts w:ascii="Georgia" w:hAnsi="Georgia"/>
          <w:sz w:val="20"/>
          <w:szCs w:val="20"/>
        </w:rPr>
        <w:t>rate [(</w:t>
      </w:r>
      <w:proofErr w:type="gramEnd"/>
      <w:r w:rsidR="00CF38A4" w:rsidRPr="00597B83">
        <w:rPr>
          <w:rFonts w:ascii="Georgia" w:hAnsi="Georgia"/>
          <w:sz w:val="20"/>
          <w:szCs w:val="20"/>
        </w:rPr>
        <w:t>2.87</w:t>
      </w:r>
      <w:r w:rsidRPr="00597B83">
        <w:rPr>
          <w:rFonts w:ascii="Georgia" w:hAnsi="Georgia"/>
          <w:sz w:val="20"/>
          <w:szCs w:val="20"/>
        </w:rPr>
        <w:t>% / (1 - 0.37)] = 4.</w:t>
      </w:r>
      <w:r w:rsidR="00597B83" w:rsidRPr="00597B83">
        <w:rPr>
          <w:rFonts w:ascii="Georgia" w:hAnsi="Georgia"/>
          <w:sz w:val="20"/>
          <w:szCs w:val="20"/>
        </w:rPr>
        <w:t>56</w:t>
      </w:r>
      <w:r w:rsidRPr="00597B83">
        <w:rPr>
          <w:rFonts w:ascii="Georgia" w:hAnsi="Georgia"/>
          <w:sz w:val="20"/>
          <w:szCs w:val="20"/>
        </w:rPr>
        <w:t>%.</w:t>
      </w:r>
    </w:p>
    <w:p w14:paraId="206F9842" w14:textId="35EC7E60" w:rsidR="007E5340" w:rsidRPr="00597B83" w:rsidRDefault="00875C2A" w:rsidP="00875C2A">
      <w:pPr>
        <w:spacing w:line="360" w:lineRule="auto"/>
        <w:ind w:left="-288"/>
        <w:rPr>
          <w:rFonts w:ascii="Georgia" w:hAnsi="Georgia"/>
          <w:b/>
          <w:bCs/>
          <w:sz w:val="20"/>
          <w:szCs w:val="20"/>
        </w:rPr>
      </w:pPr>
      <w:r w:rsidRPr="00597B83">
        <w:rPr>
          <w:rFonts w:ascii="Georgia" w:hAnsi="Georgia"/>
          <w:b/>
          <w:bCs/>
          <w:sz w:val="20"/>
          <w:szCs w:val="20"/>
        </w:rPr>
        <w:t xml:space="preserve">10-Year Forecast of Annualized Geometric Return: </w:t>
      </w:r>
      <w:r w:rsidR="00597B83" w:rsidRPr="00597B83">
        <w:rPr>
          <w:rFonts w:ascii="Georgia" w:hAnsi="Georgia"/>
          <w:b/>
          <w:bCs/>
          <w:sz w:val="20"/>
          <w:szCs w:val="20"/>
        </w:rPr>
        <w:t>4.6</w:t>
      </w:r>
      <w:r w:rsidRPr="00597B83">
        <w:rPr>
          <w:rFonts w:ascii="Georgia" w:hAnsi="Georgia"/>
          <w:b/>
          <w:bCs/>
          <w:sz w:val="20"/>
          <w:szCs w:val="20"/>
        </w:rPr>
        <w:t>%</w:t>
      </w:r>
      <w:r w:rsidR="0069120D" w:rsidRPr="00597B83">
        <w:rPr>
          <w:rStyle w:val="FootnoteReference"/>
          <w:rFonts w:ascii="Georgia" w:hAnsi="Georgia"/>
          <w:b/>
          <w:bCs/>
          <w:sz w:val="20"/>
          <w:szCs w:val="20"/>
        </w:rPr>
        <w:footnoteReference w:id="1"/>
      </w:r>
    </w:p>
    <w:p w14:paraId="30C06D3E" w14:textId="77777777" w:rsidR="0094420D" w:rsidRPr="0094420D" w:rsidRDefault="0094420D" w:rsidP="006C46CE">
      <w:pPr>
        <w:spacing w:line="360" w:lineRule="auto"/>
        <w:ind w:left="-288"/>
        <w:rPr>
          <w:rFonts w:ascii="Georgia" w:hAnsi="Georgia"/>
          <w:color w:val="002855"/>
          <w:sz w:val="20"/>
          <w:szCs w:val="20"/>
        </w:rPr>
      </w:pPr>
    </w:p>
    <w:p w14:paraId="7B9E3060" w14:textId="671EBFF9" w:rsidR="0094420D" w:rsidRPr="00BC5528" w:rsidRDefault="00794A6B" w:rsidP="006C46CE">
      <w:pPr>
        <w:spacing w:line="360" w:lineRule="auto"/>
        <w:ind w:left="-288"/>
        <w:rPr>
          <w:rFonts w:ascii="Georgia" w:hAnsi="Georgia"/>
          <w:color w:val="EE0000"/>
          <w:sz w:val="20"/>
          <w:szCs w:val="20"/>
        </w:rPr>
      </w:pPr>
      <w:r w:rsidRPr="0007644D">
        <w:rPr>
          <w:rFonts w:ascii="Georgia" w:eastAsia="MS Mincho" w:hAnsi="Georgia" w:cs="Times New Roman"/>
          <w:noProof/>
        </w:rPr>
        <mc:AlternateContent>
          <mc:Choice Requires="wps">
            <w:drawing>
              <wp:anchor distT="0" distB="0" distL="114300" distR="114300" simplePos="0" relativeHeight="251654144" behindDoc="0" locked="0" layoutInCell="1" allowOverlap="1" wp14:anchorId="3E084B95" wp14:editId="429F554C">
                <wp:simplePos x="0" y="0"/>
                <wp:positionH relativeFrom="page">
                  <wp:align>center</wp:align>
                </wp:positionH>
                <wp:positionV relativeFrom="paragraph">
                  <wp:posOffset>2204029</wp:posOffset>
                </wp:positionV>
                <wp:extent cx="2463800" cy="173355"/>
                <wp:effectExtent l="0" t="0" r="0" b="0"/>
                <wp:wrapTopAndBottom/>
                <wp:docPr id="1838742961" name="Text Box 1838742961"/>
                <wp:cNvGraphicFramePr/>
                <a:graphic xmlns:a="http://schemas.openxmlformats.org/drawingml/2006/main">
                  <a:graphicData uri="http://schemas.microsoft.com/office/word/2010/wordprocessingShape">
                    <wps:wsp>
                      <wps:cNvSpPr txBox="1"/>
                      <wps:spPr>
                        <a:xfrm>
                          <a:off x="0" y="0"/>
                          <a:ext cx="2463800" cy="173355"/>
                        </a:xfrm>
                        <a:prstGeom prst="rect">
                          <a:avLst/>
                        </a:prstGeom>
                        <a:solidFill>
                          <a:prstClr val="white"/>
                        </a:solidFill>
                        <a:ln>
                          <a:noFill/>
                        </a:ln>
                      </wps:spPr>
                      <wps:txbx>
                        <w:txbxContent>
                          <w:p w14:paraId="43B0ACBD" w14:textId="77777777" w:rsidR="00794A6B" w:rsidRPr="0007644D" w:rsidRDefault="00794A6B" w:rsidP="00794A6B">
                            <w:pPr>
                              <w:pStyle w:val="Caption1"/>
                              <w:jc w:val="center"/>
                              <w:rPr>
                                <w:rFonts w:ascii="Georgia" w:eastAsia="Arial Unicode MS" w:hAnsi="Georgia"/>
                                <w:noProof/>
                                <w:color w:val="auto"/>
                                <w:sz w:val="22"/>
                                <w:szCs w:val="22"/>
                              </w:rPr>
                            </w:pPr>
                            <w:r w:rsidRPr="0007644D">
                              <w:rPr>
                                <w:rFonts w:ascii="Georgia" w:hAnsi="Georgia"/>
                                <w:color w:val="auto"/>
                                <w:sz w:val="16"/>
                                <w:szCs w:val="16"/>
                              </w:rPr>
                              <w:t>Source: FactSet. As of October 31, 202</w:t>
                            </w:r>
                            <w:r>
                              <w:rPr>
                                <w:rFonts w:ascii="Georgia" w:hAnsi="Georgia"/>
                                <w:color w:val="auto"/>
                                <w:sz w:val="16"/>
                                <w:szCs w:val="1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84B95" id="Text Box 1838742961" o:spid="_x0000_s1031" type="#_x0000_t202" style="position:absolute;left:0;text-align:left;margin-left:0;margin-top:173.55pt;width:194pt;height:13.65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" stroked="f">
                <v:textbox inset="0,0,0,0">
                  <w:txbxContent>
                    <w:p w14:paraId="43B0ACBD" w14:textId="77777777" w:rsidR="00794A6B" w:rsidRPr="0007644D" w:rsidRDefault="00794A6B" w:rsidP="00794A6B">
                      <w:pPr>
                        <w:pStyle w:val="Caption1"/>
                        <w:jc w:val="center"/>
                        <w:rPr>
                          <w:rFonts w:ascii="Georgia" w:eastAsia="Arial Unicode MS" w:hAnsi="Georgia"/>
                          <w:noProof/>
                          <w:color w:val="auto"/>
                          <w:sz w:val="22"/>
                          <w:szCs w:val="22"/>
                        </w:rPr>
                      </w:pPr>
                      <w:r w:rsidRPr="0007644D">
                        <w:rPr>
                          <w:rFonts w:ascii="Georgia" w:hAnsi="Georgia"/>
                          <w:color w:val="auto"/>
                          <w:sz w:val="16"/>
                          <w:szCs w:val="16"/>
                        </w:rPr>
                        <w:t>Source: FactSet. As of October 31, 202</w:t>
                      </w:r>
                      <w:r>
                        <w:rPr>
                          <w:rFonts w:ascii="Georgia" w:hAnsi="Georgia"/>
                          <w:color w:val="auto"/>
                          <w:sz w:val="16"/>
                          <w:szCs w:val="16"/>
                        </w:rPr>
                        <w:t>5</w:t>
                      </w:r>
                    </w:p>
                  </w:txbxContent>
                </v:textbox>
                <w10:wrap type="topAndBottom" anchorx="page"/>
              </v:shape>
            </w:pict>
          </mc:Fallback>
        </mc:AlternateContent>
      </w:r>
      <w:r w:rsidRPr="00794A6B">
        <w:rPr>
          <w:noProof/>
        </w:rPr>
        <w:drawing>
          <wp:anchor distT="0" distB="0" distL="114300" distR="114300" simplePos="0" relativeHeight="251653120" behindDoc="0" locked="0" layoutInCell="1" allowOverlap="1" wp14:anchorId="24E20F12" wp14:editId="060DF3B0">
            <wp:simplePos x="0" y="0"/>
            <wp:positionH relativeFrom="page">
              <wp:align>center</wp:align>
            </wp:positionH>
            <wp:positionV relativeFrom="paragraph">
              <wp:posOffset>646016</wp:posOffset>
            </wp:positionV>
            <wp:extent cx="2472690" cy="1510665"/>
            <wp:effectExtent l="0" t="0" r="3810" b="0"/>
            <wp:wrapTopAndBottom/>
            <wp:docPr id="18699316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2690" cy="1510665"/>
                    </a:xfrm>
                    <a:prstGeom prst="rect">
                      <a:avLst/>
                    </a:prstGeom>
                    <a:noFill/>
                    <a:ln>
                      <a:noFill/>
                    </a:ln>
                  </pic:spPr>
                </pic:pic>
              </a:graphicData>
            </a:graphic>
          </wp:anchor>
        </w:drawing>
      </w:r>
      <w:r w:rsidR="004C1EB7" w:rsidRPr="004C1EB7">
        <w:rPr>
          <w:rFonts w:ascii="Georgia" w:hAnsi="Georgia"/>
          <w:b/>
          <w:bCs/>
          <w:color w:val="002855"/>
          <w:sz w:val="20"/>
          <w:szCs w:val="20"/>
        </w:rPr>
        <w:t>U.S. TAX-EXEMPT (MUNICIPAL) HIGH YIELD FIXED INCOME</w:t>
      </w:r>
      <w:r w:rsidR="0094420D" w:rsidRPr="004E721E">
        <w:rPr>
          <w:rFonts w:ascii="Georgia" w:hAnsi="Georgia"/>
          <w:b/>
          <w:bCs/>
          <w:color w:val="002855"/>
          <w:sz w:val="20"/>
          <w:szCs w:val="20"/>
        </w:rPr>
        <w:t>:</w:t>
      </w:r>
      <w:r w:rsidR="0094420D" w:rsidRPr="004E721E">
        <w:rPr>
          <w:rFonts w:ascii="Georgia" w:hAnsi="Georgia"/>
          <w:sz w:val="20"/>
          <w:szCs w:val="20"/>
        </w:rPr>
        <w:t xml:space="preserve"> </w:t>
      </w:r>
      <w:r w:rsidR="00BC5528" w:rsidRPr="00554D43">
        <w:rPr>
          <w:rFonts w:ascii="Georgia" w:hAnsi="Georgia"/>
          <w:sz w:val="20"/>
          <w:szCs w:val="20"/>
        </w:rPr>
        <w:t>As of October 31, 202</w:t>
      </w:r>
      <w:r w:rsidRPr="00554D43">
        <w:rPr>
          <w:rFonts w:ascii="Georgia" w:hAnsi="Georgia"/>
          <w:sz w:val="20"/>
          <w:szCs w:val="20"/>
        </w:rPr>
        <w:t>5</w:t>
      </w:r>
      <w:r w:rsidR="00BC5528" w:rsidRPr="00554D43">
        <w:rPr>
          <w:rFonts w:ascii="Georgia" w:hAnsi="Georgia"/>
          <w:sz w:val="20"/>
          <w:szCs w:val="20"/>
        </w:rPr>
        <w:t>, the Bloomberg U.S. Municipal Bond High Yield Index had 5,</w:t>
      </w:r>
      <w:r w:rsidR="00554D43" w:rsidRPr="00554D43">
        <w:rPr>
          <w:rFonts w:ascii="Georgia" w:hAnsi="Georgia"/>
          <w:sz w:val="20"/>
          <w:szCs w:val="20"/>
        </w:rPr>
        <w:t>703</w:t>
      </w:r>
      <w:r w:rsidR="00BC5528" w:rsidRPr="00554D43">
        <w:rPr>
          <w:rFonts w:ascii="Georgia" w:hAnsi="Georgia"/>
          <w:sz w:val="20"/>
          <w:szCs w:val="20"/>
        </w:rPr>
        <w:t xml:space="preserve"> issues with an average maturity of 19.</w:t>
      </w:r>
      <w:r w:rsidR="00554D43" w:rsidRPr="00554D43">
        <w:rPr>
          <w:rFonts w:ascii="Georgia" w:hAnsi="Georgia"/>
          <w:sz w:val="20"/>
          <w:szCs w:val="20"/>
        </w:rPr>
        <w:t>54</w:t>
      </w:r>
      <w:r w:rsidR="00BC5528" w:rsidRPr="00554D43">
        <w:rPr>
          <w:rFonts w:ascii="Georgia" w:hAnsi="Georgia"/>
          <w:sz w:val="20"/>
          <w:szCs w:val="20"/>
        </w:rPr>
        <w:t xml:space="preserve"> years and an average duration of </w:t>
      </w:r>
      <w:r w:rsidR="00554D43" w:rsidRPr="00554D43">
        <w:rPr>
          <w:rFonts w:ascii="Georgia" w:hAnsi="Georgia"/>
          <w:sz w:val="20"/>
          <w:szCs w:val="20"/>
        </w:rPr>
        <w:t xml:space="preserve">7.47 </w:t>
      </w:r>
      <w:r w:rsidR="00BC5528" w:rsidRPr="00554D43">
        <w:rPr>
          <w:rFonts w:ascii="Georgia" w:hAnsi="Georgia"/>
          <w:sz w:val="20"/>
          <w:szCs w:val="20"/>
        </w:rPr>
        <w:t xml:space="preserve">years. The index is below investment-grade </w:t>
      </w:r>
      <w:proofErr w:type="gramStart"/>
      <w:r w:rsidR="00BC5528" w:rsidRPr="00554D43">
        <w:rPr>
          <w:rFonts w:ascii="Georgia" w:hAnsi="Georgia"/>
          <w:sz w:val="20"/>
          <w:szCs w:val="20"/>
        </w:rPr>
        <w:t>rated</w:t>
      </w:r>
      <w:proofErr w:type="gramEnd"/>
      <w:r w:rsidR="00BC5528" w:rsidRPr="00554D43">
        <w:rPr>
          <w:rFonts w:ascii="Georgia" w:hAnsi="Georgia"/>
          <w:sz w:val="20"/>
          <w:szCs w:val="20"/>
        </w:rPr>
        <w:t>.</w:t>
      </w:r>
    </w:p>
    <w:p w14:paraId="697B5EC7" w14:textId="35BF5031" w:rsidR="00794A6B" w:rsidRPr="00D6314B" w:rsidRDefault="00095D1F" w:rsidP="00095D1F">
      <w:pPr>
        <w:spacing w:line="360" w:lineRule="auto"/>
        <w:ind w:left="-288"/>
        <w:rPr>
          <w:rFonts w:ascii="Georgia" w:hAnsi="Georgia"/>
          <w:sz w:val="20"/>
          <w:szCs w:val="20"/>
        </w:rPr>
      </w:pPr>
      <w:r w:rsidRPr="00D6314B">
        <w:rPr>
          <w:rFonts w:ascii="Georgia" w:hAnsi="Georgia"/>
          <w:sz w:val="20"/>
          <w:szCs w:val="20"/>
        </w:rPr>
        <w:t>Our tax-adjusted return forecast for the Bloomberg Barclays Capital U.S. Municipal High Yield Index is found by dividing the current yield to worst by one minus the highest marginal federal tax rate [(5.</w:t>
      </w:r>
      <w:r w:rsidR="00CE1784" w:rsidRPr="00D6314B">
        <w:rPr>
          <w:rFonts w:ascii="Georgia" w:hAnsi="Georgia"/>
          <w:sz w:val="20"/>
          <w:szCs w:val="20"/>
        </w:rPr>
        <w:t>63</w:t>
      </w:r>
      <w:r w:rsidRPr="00D6314B">
        <w:rPr>
          <w:rFonts w:ascii="Georgia" w:hAnsi="Georgia"/>
          <w:sz w:val="20"/>
          <w:szCs w:val="20"/>
        </w:rPr>
        <w:t>% / (1 - 0.37)] = 8.</w:t>
      </w:r>
      <w:r w:rsidR="00554D43" w:rsidRPr="00D6314B">
        <w:rPr>
          <w:rFonts w:ascii="Georgia" w:hAnsi="Georgia"/>
          <w:sz w:val="20"/>
          <w:szCs w:val="20"/>
        </w:rPr>
        <w:t>94</w:t>
      </w:r>
      <w:r w:rsidRPr="00D6314B">
        <w:rPr>
          <w:rFonts w:ascii="Georgia" w:hAnsi="Georgia"/>
          <w:sz w:val="20"/>
          <w:szCs w:val="20"/>
        </w:rPr>
        <w:t>%.</w:t>
      </w:r>
    </w:p>
    <w:p w14:paraId="27AE906D" w14:textId="22A7D61D" w:rsidR="0094420D" w:rsidRPr="00D6314B" w:rsidRDefault="00095D1F" w:rsidP="006C46CE">
      <w:pPr>
        <w:spacing w:line="360" w:lineRule="auto"/>
        <w:ind w:left="-288"/>
        <w:rPr>
          <w:rFonts w:ascii="Georgia" w:hAnsi="Georgia"/>
          <w:b/>
          <w:bCs/>
          <w:sz w:val="20"/>
          <w:szCs w:val="20"/>
        </w:rPr>
      </w:pPr>
      <w:r w:rsidRPr="00D6314B">
        <w:rPr>
          <w:rFonts w:ascii="Georgia" w:hAnsi="Georgia"/>
          <w:b/>
          <w:bCs/>
          <w:sz w:val="20"/>
          <w:szCs w:val="20"/>
        </w:rPr>
        <w:t>10-Year Forecast of Annualized Geometric Return: 8.</w:t>
      </w:r>
      <w:r w:rsidR="00554D43" w:rsidRPr="00D6314B">
        <w:rPr>
          <w:rFonts w:ascii="Georgia" w:hAnsi="Georgia"/>
          <w:b/>
          <w:bCs/>
          <w:sz w:val="20"/>
          <w:szCs w:val="20"/>
        </w:rPr>
        <w:t>9</w:t>
      </w:r>
      <w:r w:rsidRPr="00D6314B">
        <w:rPr>
          <w:rFonts w:ascii="Georgia" w:hAnsi="Georgia"/>
          <w:b/>
          <w:bCs/>
          <w:sz w:val="20"/>
          <w:szCs w:val="20"/>
        </w:rPr>
        <w:t>%</w:t>
      </w:r>
      <w:r w:rsidRPr="00D6314B">
        <w:rPr>
          <w:rStyle w:val="FootnoteReference"/>
          <w:rFonts w:ascii="Georgia" w:hAnsi="Georgia"/>
          <w:b/>
          <w:bCs/>
          <w:sz w:val="20"/>
          <w:szCs w:val="20"/>
        </w:rPr>
        <w:footnoteReference w:id="2"/>
      </w:r>
    </w:p>
    <w:p w14:paraId="6FCF03C9" w14:textId="77ECA651" w:rsidR="0094420D" w:rsidRPr="008054E1" w:rsidRDefault="00204B47" w:rsidP="006C46CE">
      <w:pPr>
        <w:spacing w:line="360" w:lineRule="auto"/>
        <w:ind w:left="-288"/>
        <w:rPr>
          <w:rFonts w:ascii="Georgia" w:hAnsi="Georgia"/>
          <w:sz w:val="20"/>
          <w:szCs w:val="20"/>
        </w:rPr>
      </w:pPr>
      <w:r w:rsidRPr="00204B47">
        <w:rPr>
          <w:rFonts w:ascii="Georgia" w:hAnsi="Georgia"/>
          <w:b/>
          <w:bCs/>
          <w:color w:val="002855"/>
          <w:sz w:val="20"/>
          <w:szCs w:val="20"/>
        </w:rPr>
        <w:lastRenderedPageBreak/>
        <w:t>U.S. INVESTMENT GRADE FIXED INCOME</w:t>
      </w:r>
      <w:r w:rsidR="007B69F2" w:rsidRPr="004E721E">
        <w:rPr>
          <w:rFonts w:ascii="Georgia" w:hAnsi="Georgia"/>
          <w:b/>
          <w:bCs/>
          <w:color w:val="002855"/>
          <w:sz w:val="20"/>
          <w:szCs w:val="20"/>
        </w:rPr>
        <w:t>:</w:t>
      </w:r>
      <w:r w:rsidR="007B69F2" w:rsidRPr="004E721E">
        <w:rPr>
          <w:rFonts w:ascii="Georgia" w:hAnsi="Georgia"/>
          <w:sz w:val="20"/>
          <w:szCs w:val="20"/>
        </w:rPr>
        <w:t xml:space="preserve"> </w:t>
      </w:r>
      <w:r w:rsidR="00444AF3" w:rsidRPr="008054E1">
        <w:rPr>
          <w:rFonts w:ascii="Georgia" w:hAnsi="Georgia"/>
          <w:sz w:val="20"/>
          <w:szCs w:val="20"/>
        </w:rPr>
        <w:t>As of October 31, 202</w:t>
      </w:r>
      <w:r w:rsidR="00033247" w:rsidRPr="008054E1">
        <w:rPr>
          <w:rFonts w:ascii="Georgia" w:hAnsi="Georgia"/>
          <w:sz w:val="20"/>
          <w:szCs w:val="20"/>
        </w:rPr>
        <w:t>5</w:t>
      </w:r>
      <w:r w:rsidR="00444AF3" w:rsidRPr="008054E1">
        <w:rPr>
          <w:rFonts w:ascii="Georgia" w:hAnsi="Georgia"/>
          <w:sz w:val="20"/>
          <w:szCs w:val="20"/>
        </w:rPr>
        <w:t>, the Bloomberg U.S. Aggregate Bond Index had 13,</w:t>
      </w:r>
      <w:r w:rsidR="00033247" w:rsidRPr="008054E1">
        <w:rPr>
          <w:rFonts w:ascii="Georgia" w:hAnsi="Georgia"/>
          <w:sz w:val="20"/>
          <w:szCs w:val="20"/>
        </w:rPr>
        <w:t>899</w:t>
      </w:r>
      <w:r w:rsidR="00444AF3" w:rsidRPr="008054E1">
        <w:rPr>
          <w:rFonts w:ascii="Georgia" w:hAnsi="Georgia"/>
          <w:sz w:val="20"/>
          <w:szCs w:val="20"/>
        </w:rPr>
        <w:t xml:space="preserve"> issues with an average maturity of 8.</w:t>
      </w:r>
      <w:r w:rsidR="00033247" w:rsidRPr="008054E1">
        <w:rPr>
          <w:rFonts w:ascii="Georgia" w:hAnsi="Georgia"/>
          <w:sz w:val="20"/>
          <w:szCs w:val="20"/>
        </w:rPr>
        <w:t>24</w:t>
      </w:r>
      <w:r w:rsidR="00444AF3" w:rsidRPr="008054E1">
        <w:rPr>
          <w:rFonts w:ascii="Georgia" w:hAnsi="Georgia"/>
          <w:sz w:val="20"/>
          <w:szCs w:val="20"/>
        </w:rPr>
        <w:t xml:space="preserve"> years and an average duration of 6.</w:t>
      </w:r>
      <w:r w:rsidR="00033247" w:rsidRPr="008054E1">
        <w:rPr>
          <w:rFonts w:ascii="Georgia" w:hAnsi="Georgia"/>
          <w:sz w:val="20"/>
          <w:szCs w:val="20"/>
        </w:rPr>
        <w:t>02</w:t>
      </w:r>
      <w:r w:rsidR="00444AF3" w:rsidRPr="008054E1">
        <w:rPr>
          <w:rFonts w:ascii="Georgia" w:hAnsi="Georgia"/>
          <w:sz w:val="20"/>
          <w:szCs w:val="20"/>
        </w:rPr>
        <w:t xml:space="preserve"> years. The index is investment-grade rated. The return forecast for the Bloomberg U.S. Aggregate Bond Index is its current yield to worst of 4.</w:t>
      </w:r>
      <w:r w:rsidR="00033247" w:rsidRPr="008054E1">
        <w:rPr>
          <w:rFonts w:ascii="Georgia" w:hAnsi="Georgia"/>
          <w:sz w:val="20"/>
          <w:szCs w:val="20"/>
        </w:rPr>
        <w:t>33</w:t>
      </w:r>
      <w:r w:rsidR="00444AF3" w:rsidRPr="008054E1">
        <w:rPr>
          <w:rFonts w:ascii="Georgia" w:hAnsi="Georgia"/>
          <w:sz w:val="20"/>
          <w:szCs w:val="20"/>
        </w:rPr>
        <w:t>%.</w:t>
      </w:r>
    </w:p>
    <w:p w14:paraId="3B98A059" w14:textId="7AF0CC91" w:rsidR="0094420D" w:rsidRPr="008054E1" w:rsidRDefault="00033247" w:rsidP="006C46CE">
      <w:pPr>
        <w:spacing w:line="360" w:lineRule="auto"/>
        <w:ind w:left="-288"/>
        <w:rPr>
          <w:rFonts w:ascii="Georgia" w:hAnsi="Georgia"/>
          <w:sz w:val="20"/>
          <w:szCs w:val="20"/>
        </w:rPr>
      </w:pPr>
      <w:r w:rsidRPr="008054E1">
        <w:rPr>
          <w:rFonts w:ascii="Georgia" w:eastAsia="MS Mincho" w:hAnsi="Georgia" w:cs="Times New Roman"/>
          <w:noProof/>
        </w:rPr>
        <mc:AlternateContent>
          <mc:Choice Requires="wps">
            <w:drawing>
              <wp:anchor distT="0" distB="0" distL="114300" distR="114300" simplePos="0" relativeHeight="251655168" behindDoc="0" locked="0" layoutInCell="1" allowOverlap="1" wp14:anchorId="09BB8D63" wp14:editId="02E4E245">
                <wp:simplePos x="0" y="0"/>
                <wp:positionH relativeFrom="page">
                  <wp:align>center</wp:align>
                </wp:positionH>
                <wp:positionV relativeFrom="paragraph">
                  <wp:posOffset>1202193</wp:posOffset>
                </wp:positionV>
                <wp:extent cx="2463800" cy="173355"/>
                <wp:effectExtent l="0" t="0" r="0" b="0"/>
                <wp:wrapTopAndBottom/>
                <wp:docPr id="1815428663" name="Text Box 1815428663"/>
                <wp:cNvGraphicFramePr/>
                <a:graphic xmlns:a="http://schemas.openxmlformats.org/drawingml/2006/main">
                  <a:graphicData uri="http://schemas.microsoft.com/office/word/2010/wordprocessingShape">
                    <wps:wsp>
                      <wps:cNvSpPr txBox="1"/>
                      <wps:spPr>
                        <a:xfrm>
                          <a:off x="0" y="0"/>
                          <a:ext cx="2463800" cy="173355"/>
                        </a:xfrm>
                        <a:prstGeom prst="rect">
                          <a:avLst/>
                        </a:prstGeom>
                        <a:solidFill>
                          <a:prstClr val="white"/>
                        </a:solidFill>
                        <a:ln>
                          <a:noFill/>
                        </a:ln>
                      </wps:spPr>
                      <wps:txbx>
                        <w:txbxContent>
                          <w:p w14:paraId="56B70165" w14:textId="77777777" w:rsidR="00033247" w:rsidRPr="0007644D" w:rsidRDefault="00033247" w:rsidP="00033247">
                            <w:pPr>
                              <w:pStyle w:val="Caption1"/>
                              <w:jc w:val="center"/>
                              <w:rPr>
                                <w:rFonts w:ascii="Georgia" w:eastAsia="Arial Unicode MS" w:hAnsi="Georgia"/>
                                <w:noProof/>
                                <w:color w:val="auto"/>
                                <w:sz w:val="22"/>
                                <w:szCs w:val="22"/>
                              </w:rPr>
                            </w:pPr>
                            <w:r w:rsidRPr="0007644D">
                              <w:rPr>
                                <w:rFonts w:ascii="Georgia" w:hAnsi="Georgia"/>
                                <w:color w:val="auto"/>
                                <w:sz w:val="16"/>
                                <w:szCs w:val="16"/>
                              </w:rPr>
                              <w:t>Source: FactSet. As of October 31, 202</w:t>
                            </w:r>
                            <w:r>
                              <w:rPr>
                                <w:rFonts w:ascii="Georgia" w:hAnsi="Georgia"/>
                                <w:color w:val="auto"/>
                                <w:sz w:val="16"/>
                                <w:szCs w:val="1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B8D63" id="Text Box 1815428663" o:spid="_x0000_s1032" type="#_x0000_t202" style="position:absolute;left:0;text-align:left;margin-left:0;margin-top:94.65pt;width:194pt;height:13.65pt;z-index:2516551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" stroked="f">
                <v:textbox inset="0,0,0,0">
                  <w:txbxContent>
                    <w:p w14:paraId="56B70165" w14:textId="77777777" w:rsidR="00033247" w:rsidRPr="0007644D" w:rsidRDefault="00033247" w:rsidP="00033247">
                      <w:pPr>
                        <w:pStyle w:val="Caption1"/>
                        <w:jc w:val="center"/>
                        <w:rPr>
                          <w:rFonts w:ascii="Georgia" w:eastAsia="Arial Unicode MS" w:hAnsi="Georgia"/>
                          <w:noProof/>
                          <w:color w:val="auto"/>
                          <w:sz w:val="22"/>
                          <w:szCs w:val="22"/>
                        </w:rPr>
                      </w:pPr>
                      <w:r w:rsidRPr="0007644D">
                        <w:rPr>
                          <w:rFonts w:ascii="Georgia" w:hAnsi="Georgia"/>
                          <w:color w:val="auto"/>
                          <w:sz w:val="16"/>
                          <w:szCs w:val="16"/>
                        </w:rPr>
                        <w:t>Source: FactSet. As of October 31, 202</w:t>
                      </w:r>
                      <w:r>
                        <w:rPr>
                          <w:rFonts w:ascii="Georgia" w:hAnsi="Georgia"/>
                          <w:color w:val="auto"/>
                          <w:sz w:val="16"/>
                          <w:szCs w:val="16"/>
                        </w:rPr>
                        <w:t>5</w:t>
                      </w:r>
                    </w:p>
                  </w:txbxContent>
                </v:textbox>
                <w10:wrap type="topAndBottom" anchorx="page"/>
              </v:shape>
            </w:pict>
          </mc:Fallback>
        </mc:AlternateContent>
      </w:r>
      <w:r w:rsidRPr="008054E1">
        <w:rPr>
          <w:noProof/>
        </w:rPr>
        <w:drawing>
          <wp:inline distT="0" distB="0" distL="0" distR="0" wp14:anchorId="2F7F5012" wp14:editId="5F62BB13">
            <wp:extent cx="6229350" cy="1179195"/>
            <wp:effectExtent l="0" t="0" r="0" b="1905"/>
            <wp:docPr id="1271079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9350" cy="1179195"/>
                    </a:xfrm>
                    <a:prstGeom prst="rect">
                      <a:avLst/>
                    </a:prstGeom>
                    <a:noFill/>
                    <a:ln>
                      <a:noFill/>
                    </a:ln>
                  </pic:spPr>
                </pic:pic>
              </a:graphicData>
            </a:graphic>
          </wp:inline>
        </w:drawing>
      </w:r>
    </w:p>
    <w:p w14:paraId="3FDA22F1" w14:textId="5ED05F9C" w:rsidR="00A97D00" w:rsidRPr="008054E1" w:rsidRDefault="00A97D00" w:rsidP="006C46CE">
      <w:pPr>
        <w:spacing w:line="360" w:lineRule="auto"/>
        <w:ind w:left="-288"/>
        <w:rPr>
          <w:rFonts w:ascii="Georgia" w:hAnsi="Georgia"/>
          <w:sz w:val="20"/>
          <w:szCs w:val="20"/>
        </w:rPr>
      </w:pPr>
    </w:p>
    <w:p w14:paraId="08F858E5" w14:textId="33C0D12A" w:rsidR="00A97D00" w:rsidRPr="008054E1" w:rsidRDefault="008054E1" w:rsidP="006C46CE">
      <w:pPr>
        <w:spacing w:line="360" w:lineRule="auto"/>
        <w:ind w:left="-288"/>
        <w:rPr>
          <w:rFonts w:ascii="Georgia" w:hAnsi="Georgia"/>
          <w:b/>
          <w:bCs/>
          <w:sz w:val="20"/>
          <w:szCs w:val="20"/>
        </w:rPr>
      </w:pPr>
      <w:r w:rsidRPr="008054E1">
        <w:rPr>
          <w:rFonts w:ascii="Georgia" w:hAnsi="Georgia"/>
          <w:b/>
          <w:bCs/>
          <w:sz w:val="20"/>
          <w:szCs w:val="20"/>
        </w:rPr>
        <w:t>10-Year Forecast of Annualized Geometric Return: 4.3%</w:t>
      </w:r>
    </w:p>
    <w:p w14:paraId="02F2F059" w14:textId="77777777" w:rsidR="00A97D00" w:rsidRDefault="00A97D00" w:rsidP="006C46CE">
      <w:pPr>
        <w:spacing w:line="360" w:lineRule="auto"/>
        <w:ind w:left="-288"/>
        <w:rPr>
          <w:rFonts w:ascii="Georgia" w:hAnsi="Georgia"/>
          <w:sz w:val="20"/>
          <w:szCs w:val="20"/>
        </w:rPr>
      </w:pPr>
    </w:p>
    <w:p w14:paraId="01FF87F4" w14:textId="284B5927" w:rsidR="00D4550F" w:rsidRPr="003429FD" w:rsidRDefault="00916297" w:rsidP="00D4550F">
      <w:pPr>
        <w:spacing w:line="360" w:lineRule="auto"/>
        <w:ind w:left="-288"/>
        <w:rPr>
          <w:rFonts w:ascii="Georgia" w:hAnsi="Georgia"/>
          <w:sz w:val="20"/>
          <w:szCs w:val="20"/>
        </w:rPr>
      </w:pPr>
      <w:r>
        <w:rPr>
          <w:rFonts w:ascii="Georgia" w:hAnsi="Georgia"/>
          <w:b/>
          <w:bCs/>
          <w:color w:val="002855"/>
          <w:sz w:val="20"/>
          <w:szCs w:val="20"/>
        </w:rPr>
        <w:t>DYNAMIC BONDS</w:t>
      </w:r>
      <w:r w:rsidRPr="004E721E">
        <w:rPr>
          <w:rFonts w:ascii="Georgia" w:hAnsi="Georgia"/>
          <w:b/>
          <w:bCs/>
          <w:color w:val="002855"/>
          <w:sz w:val="20"/>
          <w:szCs w:val="20"/>
        </w:rPr>
        <w:t>:</w:t>
      </w:r>
      <w:r w:rsidRPr="004E721E">
        <w:rPr>
          <w:rFonts w:ascii="Georgia" w:hAnsi="Georgia"/>
          <w:sz w:val="20"/>
          <w:szCs w:val="20"/>
        </w:rPr>
        <w:t xml:space="preserve"> </w:t>
      </w:r>
      <w:r w:rsidR="00D4550F" w:rsidRPr="001B17DB">
        <w:rPr>
          <w:rFonts w:ascii="Georgia" w:hAnsi="Georgia"/>
          <w:sz w:val="20"/>
          <w:szCs w:val="20"/>
        </w:rPr>
        <w:t xml:space="preserve">The </w:t>
      </w:r>
      <w:r w:rsidR="00D4550F" w:rsidRPr="003429FD">
        <w:rPr>
          <w:rFonts w:ascii="Georgia" w:hAnsi="Georgia"/>
          <w:sz w:val="20"/>
          <w:szCs w:val="20"/>
        </w:rPr>
        <w:t>asset class is calculated using blended return assumptions for cash (1/3), corporate high yield (1/3) and global bonds (1/3). The (unbiased) expected geometric return forecast is 4.</w:t>
      </w:r>
      <w:r w:rsidR="003429FD" w:rsidRPr="003429FD">
        <w:rPr>
          <w:rFonts w:ascii="Georgia" w:hAnsi="Georgia"/>
          <w:sz w:val="20"/>
          <w:szCs w:val="20"/>
        </w:rPr>
        <w:t>62</w:t>
      </w:r>
      <w:r w:rsidR="00D4550F" w:rsidRPr="003429FD">
        <w:rPr>
          <w:rFonts w:ascii="Georgia" w:hAnsi="Georgia"/>
          <w:sz w:val="20"/>
          <w:szCs w:val="20"/>
        </w:rPr>
        <w:t>%.</w:t>
      </w:r>
    </w:p>
    <w:p w14:paraId="734919E1" w14:textId="25F34340" w:rsidR="00A97D00" w:rsidRPr="003429FD" w:rsidRDefault="00D4550F" w:rsidP="00D4550F">
      <w:pPr>
        <w:spacing w:line="360" w:lineRule="auto"/>
        <w:ind w:left="-288"/>
        <w:rPr>
          <w:rFonts w:ascii="Georgia" w:hAnsi="Georgia"/>
          <w:b/>
          <w:bCs/>
          <w:sz w:val="20"/>
          <w:szCs w:val="20"/>
        </w:rPr>
      </w:pPr>
      <w:r w:rsidRPr="003429FD">
        <w:rPr>
          <w:rFonts w:ascii="Georgia" w:hAnsi="Georgia"/>
          <w:b/>
          <w:bCs/>
          <w:sz w:val="20"/>
          <w:szCs w:val="20"/>
        </w:rPr>
        <w:t>10-Year Forecast of Annualized Geometric Return: 4.</w:t>
      </w:r>
      <w:r w:rsidR="00451E8E" w:rsidRPr="003429FD">
        <w:rPr>
          <w:rFonts w:ascii="Georgia" w:hAnsi="Georgia"/>
          <w:b/>
          <w:bCs/>
          <w:sz w:val="20"/>
          <w:szCs w:val="20"/>
        </w:rPr>
        <w:t>6</w:t>
      </w:r>
      <w:r w:rsidRPr="003429FD">
        <w:rPr>
          <w:rFonts w:ascii="Georgia" w:hAnsi="Georgia"/>
          <w:b/>
          <w:bCs/>
          <w:sz w:val="20"/>
          <w:szCs w:val="20"/>
        </w:rPr>
        <w:t>%</w:t>
      </w:r>
    </w:p>
    <w:p w14:paraId="06FA0471" w14:textId="77777777" w:rsidR="00D4550F" w:rsidRPr="00D4550F" w:rsidRDefault="00D4550F" w:rsidP="00D4550F">
      <w:pPr>
        <w:spacing w:line="360" w:lineRule="auto"/>
        <w:ind w:left="-288"/>
        <w:rPr>
          <w:rFonts w:ascii="Georgia" w:hAnsi="Georgia"/>
          <w:color w:val="002855"/>
          <w:sz w:val="20"/>
          <w:szCs w:val="20"/>
        </w:rPr>
      </w:pPr>
    </w:p>
    <w:p w14:paraId="169850EF" w14:textId="04C474A1" w:rsidR="00D15DB2" w:rsidRPr="00DA28C2" w:rsidRDefault="00D4550F" w:rsidP="00D15DB2">
      <w:pPr>
        <w:spacing w:line="360" w:lineRule="auto"/>
        <w:ind w:left="-288"/>
        <w:rPr>
          <w:rFonts w:ascii="Georgia" w:hAnsi="Georgia"/>
          <w:sz w:val="20"/>
          <w:szCs w:val="20"/>
        </w:rPr>
      </w:pPr>
      <w:r>
        <w:rPr>
          <w:rFonts w:ascii="Georgia" w:hAnsi="Georgia"/>
          <w:b/>
          <w:bCs/>
          <w:color w:val="002855"/>
          <w:sz w:val="20"/>
          <w:szCs w:val="20"/>
        </w:rPr>
        <w:t>LONG-TERM BONDS</w:t>
      </w:r>
      <w:r w:rsidRPr="004E721E">
        <w:rPr>
          <w:rFonts w:ascii="Georgia" w:hAnsi="Georgia"/>
          <w:b/>
          <w:bCs/>
          <w:color w:val="002855"/>
          <w:sz w:val="20"/>
          <w:szCs w:val="20"/>
        </w:rPr>
        <w:t>:</w:t>
      </w:r>
      <w:r w:rsidRPr="004E721E">
        <w:rPr>
          <w:rFonts w:ascii="Georgia" w:hAnsi="Georgia"/>
          <w:sz w:val="20"/>
          <w:szCs w:val="20"/>
        </w:rPr>
        <w:t xml:space="preserve"> </w:t>
      </w:r>
      <w:r w:rsidR="00D15DB2" w:rsidRPr="00DA28C2">
        <w:rPr>
          <w:rFonts w:ascii="Georgia" w:hAnsi="Georgia"/>
          <w:sz w:val="20"/>
          <w:szCs w:val="20"/>
        </w:rPr>
        <w:t>As of October 31, 202</w:t>
      </w:r>
      <w:r w:rsidR="00716557" w:rsidRPr="00DA28C2">
        <w:rPr>
          <w:rFonts w:ascii="Georgia" w:hAnsi="Georgia"/>
          <w:sz w:val="20"/>
          <w:szCs w:val="20"/>
        </w:rPr>
        <w:t>5</w:t>
      </w:r>
      <w:r w:rsidR="00D15DB2" w:rsidRPr="00DA28C2">
        <w:rPr>
          <w:rFonts w:ascii="Georgia" w:hAnsi="Georgia"/>
          <w:sz w:val="20"/>
          <w:szCs w:val="20"/>
        </w:rPr>
        <w:t>, the Bloomberg U.S. Long Gov/Credit Index had 3,5</w:t>
      </w:r>
      <w:r w:rsidR="00E0085E" w:rsidRPr="00DA28C2">
        <w:rPr>
          <w:rFonts w:ascii="Georgia" w:hAnsi="Georgia"/>
          <w:sz w:val="20"/>
          <w:szCs w:val="20"/>
        </w:rPr>
        <w:t>52</w:t>
      </w:r>
      <w:r w:rsidR="00D15DB2" w:rsidRPr="00DA28C2">
        <w:rPr>
          <w:rFonts w:ascii="Georgia" w:hAnsi="Georgia"/>
          <w:sz w:val="20"/>
          <w:szCs w:val="20"/>
        </w:rPr>
        <w:t xml:space="preserve"> issues with an average maturity of 22.1</w:t>
      </w:r>
      <w:r w:rsidR="00E0085E" w:rsidRPr="00DA28C2">
        <w:rPr>
          <w:rFonts w:ascii="Georgia" w:hAnsi="Georgia"/>
          <w:sz w:val="20"/>
          <w:szCs w:val="20"/>
        </w:rPr>
        <w:t>0</w:t>
      </w:r>
      <w:r w:rsidR="00D15DB2" w:rsidRPr="00DA28C2">
        <w:rPr>
          <w:rFonts w:ascii="Georgia" w:hAnsi="Georgia"/>
          <w:sz w:val="20"/>
          <w:szCs w:val="20"/>
        </w:rPr>
        <w:t xml:space="preserve"> years and an average duration of 13.</w:t>
      </w:r>
      <w:r w:rsidR="00937626" w:rsidRPr="00DA28C2">
        <w:rPr>
          <w:rFonts w:ascii="Georgia" w:hAnsi="Georgia"/>
          <w:sz w:val="20"/>
          <w:szCs w:val="20"/>
        </w:rPr>
        <w:t>6</w:t>
      </w:r>
      <w:r w:rsidR="00D15DB2" w:rsidRPr="00DA28C2">
        <w:rPr>
          <w:rFonts w:ascii="Georgia" w:hAnsi="Georgia"/>
          <w:sz w:val="20"/>
          <w:szCs w:val="20"/>
        </w:rPr>
        <w:t>8 years. The index is investment-grade rated. The return forecast for the Bloomberg U.S. Long Gov/Credit Index is its current yield to worst of 5.0</w:t>
      </w:r>
      <w:r w:rsidR="00DA28C2" w:rsidRPr="00DA28C2">
        <w:rPr>
          <w:rFonts w:ascii="Georgia" w:hAnsi="Georgia"/>
          <w:sz w:val="20"/>
          <w:szCs w:val="20"/>
        </w:rPr>
        <w:t>6</w:t>
      </w:r>
      <w:r w:rsidR="00D15DB2" w:rsidRPr="00DA28C2">
        <w:rPr>
          <w:rFonts w:ascii="Georgia" w:hAnsi="Georgia"/>
          <w:sz w:val="20"/>
          <w:szCs w:val="20"/>
        </w:rPr>
        <w:t>%.</w:t>
      </w:r>
    </w:p>
    <w:p w14:paraId="090E1AB0" w14:textId="6C658C0E" w:rsidR="00A97D00" w:rsidRPr="003429FD" w:rsidRDefault="00D15DB2" w:rsidP="00D15DB2">
      <w:pPr>
        <w:spacing w:line="360" w:lineRule="auto"/>
        <w:ind w:left="-288"/>
        <w:rPr>
          <w:rFonts w:ascii="Georgia" w:hAnsi="Georgia"/>
          <w:b/>
          <w:bCs/>
          <w:sz w:val="20"/>
          <w:szCs w:val="20"/>
        </w:rPr>
      </w:pPr>
      <w:r w:rsidRPr="003429FD">
        <w:rPr>
          <w:rFonts w:ascii="Georgia" w:hAnsi="Georgia"/>
          <w:b/>
          <w:bCs/>
          <w:sz w:val="20"/>
          <w:szCs w:val="20"/>
        </w:rPr>
        <w:t>10-Year Forecast of Annualized Geometric Return: 5.1%</w:t>
      </w:r>
    </w:p>
    <w:p w14:paraId="4F5382C6" w14:textId="77777777" w:rsidR="00D15DB2" w:rsidRPr="00DA28C2" w:rsidRDefault="00D15DB2" w:rsidP="00D15DB2">
      <w:pPr>
        <w:spacing w:line="360" w:lineRule="auto"/>
        <w:ind w:left="-288"/>
        <w:rPr>
          <w:rFonts w:ascii="Georgia" w:hAnsi="Georgia"/>
          <w:sz w:val="20"/>
          <w:szCs w:val="20"/>
        </w:rPr>
      </w:pPr>
    </w:p>
    <w:p w14:paraId="38E84317" w14:textId="374E8A6E" w:rsidR="00D15DB2" w:rsidRDefault="00245CFE" w:rsidP="00EB6F54">
      <w:pPr>
        <w:spacing w:line="360" w:lineRule="auto"/>
        <w:ind w:left="-288"/>
        <w:rPr>
          <w:rFonts w:ascii="Georgia" w:hAnsi="Georgia"/>
          <w:sz w:val="20"/>
          <w:szCs w:val="20"/>
        </w:rPr>
      </w:pPr>
      <w:r w:rsidRPr="008054E1">
        <w:rPr>
          <w:rFonts w:ascii="Georgia" w:eastAsia="MS Mincho" w:hAnsi="Georgia" w:cs="Times New Roman"/>
          <w:noProof/>
        </w:rPr>
        <mc:AlternateContent>
          <mc:Choice Requires="wps">
            <w:drawing>
              <wp:anchor distT="0" distB="0" distL="114300" distR="114300" simplePos="0" relativeHeight="251662336" behindDoc="0" locked="0" layoutInCell="1" allowOverlap="1" wp14:anchorId="44897352" wp14:editId="5B2175C7">
                <wp:simplePos x="0" y="0"/>
                <wp:positionH relativeFrom="page">
                  <wp:align>center</wp:align>
                </wp:positionH>
                <wp:positionV relativeFrom="paragraph">
                  <wp:posOffset>2023745</wp:posOffset>
                </wp:positionV>
                <wp:extent cx="2463800" cy="173355"/>
                <wp:effectExtent l="0" t="0" r="0" b="0"/>
                <wp:wrapTopAndBottom/>
                <wp:docPr id="2016000250" name="Text Box 2016000250"/>
                <wp:cNvGraphicFramePr/>
                <a:graphic xmlns:a="http://schemas.openxmlformats.org/drawingml/2006/main">
                  <a:graphicData uri="http://schemas.microsoft.com/office/word/2010/wordprocessingShape">
                    <wps:wsp>
                      <wps:cNvSpPr txBox="1"/>
                      <wps:spPr>
                        <a:xfrm>
                          <a:off x="0" y="0"/>
                          <a:ext cx="2463800" cy="173355"/>
                        </a:xfrm>
                        <a:prstGeom prst="rect">
                          <a:avLst/>
                        </a:prstGeom>
                        <a:solidFill>
                          <a:prstClr val="white"/>
                        </a:solidFill>
                        <a:ln>
                          <a:noFill/>
                        </a:ln>
                      </wps:spPr>
                      <wps:txbx>
                        <w:txbxContent>
                          <w:p w14:paraId="046B55B7" w14:textId="77777777" w:rsidR="00245CFE" w:rsidRPr="0007644D" w:rsidRDefault="00245CFE" w:rsidP="00245CFE">
                            <w:pPr>
                              <w:pStyle w:val="Caption1"/>
                              <w:jc w:val="center"/>
                              <w:rPr>
                                <w:rFonts w:ascii="Georgia" w:eastAsia="Arial Unicode MS" w:hAnsi="Georgia"/>
                                <w:noProof/>
                                <w:color w:val="auto"/>
                                <w:sz w:val="22"/>
                                <w:szCs w:val="22"/>
                              </w:rPr>
                            </w:pPr>
                            <w:r w:rsidRPr="0007644D">
                              <w:rPr>
                                <w:rFonts w:ascii="Georgia" w:hAnsi="Georgia"/>
                                <w:color w:val="auto"/>
                                <w:sz w:val="16"/>
                                <w:szCs w:val="16"/>
                              </w:rPr>
                              <w:t>Source: FactSet. As of October 31, 202</w:t>
                            </w:r>
                            <w:r>
                              <w:rPr>
                                <w:rFonts w:ascii="Georgia" w:hAnsi="Georgia"/>
                                <w:color w:val="auto"/>
                                <w:sz w:val="16"/>
                                <w:szCs w:val="1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97352" id="Text Box 2016000250" o:spid="_x0000_s1033" type="#_x0000_t202" style="position:absolute;left:0;text-align:left;margin-left:0;margin-top:159.35pt;width:194pt;height:13.6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" stroked="f">
                <v:textbox inset="0,0,0,0">
                  <w:txbxContent>
                    <w:p w14:paraId="046B55B7" w14:textId="77777777" w:rsidR="00245CFE" w:rsidRPr="0007644D" w:rsidRDefault="00245CFE" w:rsidP="00245CFE">
                      <w:pPr>
                        <w:pStyle w:val="Caption1"/>
                        <w:jc w:val="center"/>
                        <w:rPr>
                          <w:rFonts w:ascii="Georgia" w:eastAsia="Arial Unicode MS" w:hAnsi="Georgia"/>
                          <w:noProof/>
                          <w:color w:val="auto"/>
                          <w:sz w:val="22"/>
                          <w:szCs w:val="22"/>
                        </w:rPr>
                      </w:pPr>
                      <w:r w:rsidRPr="0007644D">
                        <w:rPr>
                          <w:rFonts w:ascii="Georgia" w:hAnsi="Georgia"/>
                          <w:color w:val="auto"/>
                          <w:sz w:val="16"/>
                          <w:szCs w:val="16"/>
                        </w:rPr>
                        <w:t>Source: FactSet. As of October 31, 202</w:t>
                      </w:r>
                      <w:r>
                        <w:rPr>
                          <w:rFonts w:ascii="Georgia" w:hAnsi="Georgia"/>
                          <w:color w:val="auto"/>
                          <w:sz w:val="16"/>
                          <w:szCs w:val="16"/>
                        </w:rPr>
                        <w:t>5</w:t>
                      </w:r>
                    </w:p>
                  </w:txbxContent>
                </v:textbox>
                <w10:wrap type="topAndBottom" anchorx="page"/>
              </v:shape>
            </w:pict>
          </mc:Fallback>
        </mc:AlternateContent>
      </w:r>
      <w:r w:rsidRPr="00245CFE">
        <w:rPr>
          <w:noProof/>
        </w:rPr>
        <w:drawing>
          <wp:anchor distT="0" distB="0" distL="114300" distR="114300" simplePos="0" relativeHeight="251661312" behindDoc="0" locked="0" layoutInCell="1" allowOverlap="1" wp14:anchorId="05884210" wp14:editId="4436134C">
            <wp:simplePos x="0" y="0"/>
            <wp:positionH relativeFrom="page">
              <wp:align>center</wp:align>
            </wp:positionH>
            <wp:positionV relativeFrom="paragraph">
              <wp:posOffset>962944</wp:posOffset>
            </wp:positionV>
            <wp:extent cx="3759835" cy="1016635"/>
            <wp:effectExtent l="0" t="0" r="0" b="0"/>
            <wp:wrapTopAndBottom/>
            <wp:docPr id="16752344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9835" cy="1016635"/>
                    </a:xfrm>
                    <a:prstGeom prst="rect">
                      <a:avLst/>
                    </a:prstGeom>
                    <a:noFill/>
                    <a:ln>
                      <a:noFill/>
                    </a:ln>
                  </pic:spPr>
                </pic:pic>
              </a:graphicData>
            </a:graphic>
          </wp:anchor>
        </w:drawing>
      </w:r>
      <w:r w:rsidR="000C7E7A">
        <w:rPr>
          <w:rFonts w:ascii="Georgia" w:hAnsi="Georgia"/>
          <w:b/>
          <w:bCs/>
          <w:color w:val="002855"/>
          <w:sz w:val="20"/>
          <w:szCs w:val="20"/>
        </w:rPr>
        <w:t>HIGH YIELD BONDS</w:t>
      </w:r>
      <w:r w:rsidR="000C7E7A" w:rsidRPr="004E721E">
        <w:rPr>
          <w:rFonts w:ascii="Georgia" w:hAnsi="Georgia"/>
          <w:b/>
          <w:bCs/>
          <w:color w:val="002855"/>
          <w:sz w:val="20"/>
          <w:szCs w:val="20"/>
        </w:rPr>
        <w:t>:</w:t>
      </w:r>
      <w:r w:rsidR="000C7E7A" w:rsidRPr="004E721E">
        <w:rPr>
          <w:rFonts w:ascii="Georgia" w:hAnsi="Georgia"/>
          <w:sz w:val="20"/>
          <w:szCs w:val="20"/>
        </w:rPr>
        <w:t xml:space="preserve"> </w:t>
      </w:r>
      <w:r w:rsidR="00EB6F54" w:rsidRPr="003429FD">
        <w:rPr>
          <w:rFonts w:ascii="Georgia" w:hAnsi="Georgia"/>
          <w:sz w:val="20"/>
          <w:szCs w:val="20"/>
        </w:rPr>
        <w:t xml:space="preserve">As </w:t>
      </w:r>
      <w:r w:rsidR="00EB6F54" w:rsidRPr="00407220">
        <w:rPr>
          <w:rFonts w:ascii="Georgia" w:hAnsi="Georgia"/>
          <w:sz w:val="20"/>
          <w:szCs w:val="20"/>
        </w:rPr>
        <w:t>of October 31, 202</w:t>
      </w:r>
      <w:r w:rsidR="003429FD" w:rsidRPr="00407220">
        <w:rPr>
          <w:rFonts w:ascii="Georgia" w:hAnsi="Georgia"/>
          <w:sz w:val="20"/>
          <w:szCs w:val="20"/>
        </w:rPr>
        <w:t>5</w:t>
      </w:r>
      <w:r w:rsidR="00EB6F54" w:rsidRPr="00407220">
        <w:rPr>
          <w:rFonts w:ascii="Georgia" w:hAnsi="Georgia"/>
          <w:sz w:val="20"/>
          <w:szCs w:val="20"/>
        </w:rPr>
        <w:t>, the Bloomberg U.S. Corporate High Yield Index had 1,9</w:t>
      </w:r>
      <w:r w:rsidR="00EC1803" w:rsidRPr="00407220">
        <w:rPr>
          <w:rFonts w:ascii="Georgia" w:hAnsi="Georgia"/>
          <w:sz w:val="20"/>
          <w:szCs w:val="20"/>
        </w:rPr>
        <w:t>75</w:t>
      </w:r>
      <w:r w:rsidR="00EB6F54" w:rsidRPr="00407220">
        <w:rPr>
          <w:rFonts w:ascii="Georgia" w:hAnsi="Georgia"/>
          <w:sz w:val="20"/>
          <w:szCs w:val="20"/>
        </w:rPr>
        <w:t xml:space="preserve"> issues representing $1.</w:t>
      </w:r>
      <w:r w:rsidR="00407220" w:rsidRPr="00407220">
        <w:rPr>
          <w:rFonts w:ascii="Georgia" w:hAnsi="Georgia"/>
          <w:sz w:val="20"/>
          <w:szCs w:val="20"/>
        </w:rPr>
        <w:t>5</w:t>
      </w:r>
      <w:r w:rsidR="00EB6F54" w:rsidRPr="00407220">
        <w:rPr>
          <w:rFonts w:ascii="Georgia" w:hAnsi="Georgia"/>
          <w:sz w:val="20"/>
          <w:szCs w:val="20"/>
        </w:rPr>
        <w:t xml:space="preserve"> trillion in market value. The yield to worst was </w:t>
      </w:r>
      <w:r w:rsidR="00407220" w:rsidRPr="00407220">
        <w:rPr>
          <w:rFonts w:ascii="Georgia" w:hAnsi="Georgia"/>
          <w:sz w:val="20"/>
          <w:szCs w:val="20"/>
        </w:rPr>
        <w:t>6.78</w:t>
      </w:r>
      <w:r w:rsidR="00EB6F54" w:rsidRPr="00407220">
        <w:rPr>
          <w:rFonts w:ascii="Georgia" w:hAnsi="Georgia"/>
          <w:sz w:val="20"/>
          <w:szCs w:val="20"/>
        </w:rPr>
        <w:t>% with an average maturity of 4.</w:t>
      </w:r>
      <w:r w:rsidR="00407220" w:rsidRPr="00407220">
        <w:rPr>
          <w:rFonts w:ascii="Georgia" w:hAnsi="Georgia"/>
          <w:sz w:val="20"/>
          <w:szCs w:val="20"/>
        </w:rPr>
        <w:t>77</w:t>
      </w:r>
      <w:r w:rsidR="00EB6F54" w:rsidRPr="00407220">
        <w:rPr>
          <w:rFonts w:ascii="Georgia" w:hAnsi="Georgia"/>
          <w:sz w:val="20"/>
          <w:szCs w:val="20"/>
        </w:rPr>
        <w:t xml:space="preserve"> years and an average duration of </w:t>
      </w:r>
      <w:r w:rsidR="00407220" w:rsidRPr="00407220">
        <w:rPr>
          <w:rFonts w:ascii="Georgia" w:hAnsi="Georgia"/>
          <w:sz w:val="20"/>
          <w:szCs w:val="20"/>
        </w:rPr>
        <w:t>2.85</w:t>
      </w:r>
      <w:r w:rsidR="00EB6F54" w:rsidRPr="00407220">
        <w:rPr>
          <w:rFonts w:ascii="Georgia" w:hAnsi="Georgia"/>
          <w:sz w:val="20"/>
          <w:szCs w:val="20"/>
        </w:rPr>
        <w:t xml:space="preserve"> years. The following charts reflect current high yield bond market metrics and historical spread data.</w:t>
      </w:r>
    </w:p>
    <w:p w14:paraId="6C7E629D" w14:textId="77777777" w:rsidR="00EB6F54" w:rsidRDefault="00EB6F54" w:rsidP="00EB6F54">
      <w:pPr>
        <w:spacing w:line="360" w:lineRule="auto"/>
        <w:ind w:left="-288"/>
        <w:rPr>
          <w:rFonts w:ascii="Georgia" w:hAnsi="Georgia"/>
          <w:color w:val="EE0000"/>
          <w:sz w:val="20"/>
          <w:szCs w:val="20"/>
        </w:rPr>
      </w:pPr>
    </w:p>
    <w:p w14:paraId="15B56E53" w14:textId="77777777" w:rsidR="008D289C" w:rsidRDefault="008D289C" w:rsidP="00EB6F54">
      <w:pPr>
        <w:spacing w:line="360" w:lineRule="auto"/>
        <w:ind w:left="-288"/>
        <w:rPr>
          <w:rFonts w:ascii="Georgia" w:hAnsi="Georgia"/>
          <w:color w:val="EE0000"/>
          <w:sz w:val="20"/>
          <w:szCs w:val="20"/>
        </w:rPr>
      </w:pPr>
    </w:p>
    <w:p w14:paraId="6EE7FCB3" w14:textId="77777777" w:rsidR="008D289C" w:rsidRDefault="008D289C" w:rsidP="00EB6F54">
      <w:pPr>
        <w:spacing w:line="360" w:lineRule="auto"/>
        <w:ind w:left="-288"/>
        <w:rPr>
          <w:rFonts w:ascii="Georgia" w:hAnsi="Georgia"/>
          <w:color w:val="EE0000"/>
          <w:sz w:val="20"/>
          <w:szCs w:val="20"/>
        </w:rPr>
      </w:pPr>
    </w:p>
    <w:p w14:paraId="3499D3DA" w14:textId="77777777" w:rsidR="008D289C" w:rsidRPr="008D289C" w:rsidRDefault="008D289C" w:rsidP="008D289C">
      <w:pPr>
        <w:spacing w:line="360" w:lineRule="auto"/>
        <w:ind w:left="-288"/>
        <w:rPr>
          <w:rFonts w:ascii="Georgia" w:hAnsi="Georgia"/>
          <w:i/>
          <w:iCs/>
          <w:sz w:val="16"/>
          <w:szCs w:val="16"/>
        </w:rPr>
      </w:pPr>
      <w:r w:rsidRPr="008D289C">
        <w:rPr>
          <w:rFonts w:ascii="Georgia" w:hAnsi="Georgia"/>
          <w:i/>
          <w:iCs/>
          <w:sz w:val="16"/>
          <w:szCs w:val="16"/>
        </w:rPr>
        <w:t xml:space="preserve">Use of Indices and Benchmark Return Indices cannot be </w:t>
      </w:r>
      <w:proofErr w:type="gramStart"/>
      <w:r w:rsidRPr="008D289C">
        <w:rPr>
          <w:rFonts w:ascii="Georgia" w:hAnsi="Georgia"/>
          <w:i/>
          <w:iCs/>
          <w:sz w:val="16"/>
          <w:szCs w:val="16"/>
        </w:rPr>
        <w:t>invested in</w:t>
      </w:r>
      <w:proofErr w:type="gramEnd"/>
      <w:r w:rsidRPr="008D289C">
        <w:rPr>
          <w:rFonts w:ascii="Georgia" w:hAnsi="Georgia"/>
          <w:i/>
          <w:iCs/>
          <w:sz w:val="16"/>
          <w:szCs w:val="16"/>
        </w:rPr>
        <w:t xml:space="preserve"> directly. Index performance is reported gross of fees and expenses and assumes the reinvest dividends and capital gains. Past performance does not indicate future performance and there is a possibility of a loss. See disclosure page for indices representing each asset class.</w:t>
      </w:r>
    </w:p>
    <w:p w14:paraId="51466463" w14:textId="6303E119" w:rsidR="00DB1418" w:rsidRDefault="00DB1418" w:rsidP="00DB1418">
      <w:pPr>
        <w:spacing w:line="360" w:lineRule="auto"/>
        <w:ind w:left="-288"/>
        <w:rPr>
          <w:rFonts w:ascii="Georgia" w:hAnsi="Georgia"/>
          <w:color w:val="EE0000"/>
          <w:sz w:val="20"/>
          <w:szCs w:val="20"/>
        </w:rPr>
      </w:pPr>
    </w:p>
    <w:p w14:paraId="238184CD" w14:textId="4574D7A3" w:rsidR="000A1A7D" w:rsidRPr="00DB1418" w:rsidRDefault="000A1A7D" w:rsidP="00DB1418">
      <w:pPr>
        <w:spacing w:line="360" w:lineRule="auto"/>
        <w:ind w:left="-288"/>
        <w:rPr>
          <w:rFonts w:ascii="Georgia" w:hAnsi="Georgia"/>
          <w:color w:val="EE0000"/>
          <w:sz w:val="20"/>
          <w:szCs w:val="20"/>
        </w:rPr>
      </w:pPr>
      <w:r w:rsidRPr="008054E1">
        <w:rPr>
          <w:rFonts w:ascii="Georgia" w:eastAsia="MS Mincho" w:hAnsi="Georgia" w:cs="Times New Roman"/>
          <w:noProof/>
        </w:rPr>
        <mc:AlternateContent>
          <mc:Choice Requires="wps">
            <w:drawing>
              <wp:anchor distT="0" distB="0" distL="114300" distR="114300" simplePos="0" relativeHeight="251660288" behindDoc="0" locked="0" layoutInCell="1" allowOverlap="1" wp14:anchorId="4E7DDA2A" wp14:editId="1CD8ED8E">
                <wp:simplePos x="0" y="0"/>
                <wp:positionH relativeFrom="margin">
                  <wp:align>center</wp:align>
                </wp:positionH>
                <wp:positionV relativeFrom="paragraph">
                  <wp:posOffset>3008791</wp:posOffset>
                </wp:positionV>
                <wp:extent cx="2995295" cy="173355"/>
                <wp:effectExtent l="0" t="0" r="0" b="0"/>
                <wp:wrapTopAndBottom/>
                <wp:docPr id="1713779312" name="Text Box 1713779312"/>
                <wp:cNvGraphicFramePr/>
                <a:graphic xmlns:a="http://schemas.openxmlformats.org/drawingml/2006/main">
                  <a:graphicData uri="http://schemas.microsoft.com/office/word/2010/wordprocessingShape">
                    <wps:wsp>
                      <wps:cNvSpPr txBox="1"/>
                      <wps:spPr>
                        <a:xfrm>
                          <a:off x="0" y="0"/>
                          <a:ext cx="2995295" cy="173355"/>
                        </a:xfrm>
                        <a:prstGeom prst="rect">
                          <a:avLst/>
                        </a:prstGeom>
                        <a:solidFill>
                          <a:prstClr val="white"/>
                        </a:solidFill>
                        <a:ln>
                          <a:noFill/>
                        </a:ln>
                      </wps:spPr>
                      <wps:txbx>
                        <w:txbxContent>
                          <w:p w14:paraId="0A998F02" w14:textId="0DDC223B" w:rsidR="000A1A7D" w:rsidRPr="0007644D" w:rsidRDefault="000A1A7D" w:rsidP="000A1A7D">
                            <w:pPr>
                              <w:pStyle w:val="Caption1"/>
                              <w:jc w:val="center"/>
                              <w:rPr>
                                <w:rFonts w:ascii="Georgia" w:eastAsia="Arial Unicode MS" w:hAnsi="Georgia"/>
                                <w:noProof/>
                                <w:color w:val="auto"/>
                                <w:sz w:val="22"/>
                                <w:szCs w:val="22"/>
                              </w:rPr>
                            </w:pPr>
                            <w:r w:rsidRPr="0007644D">
                              <w:rPr>
                                <w:rFonts w:ascii="Georgia" w:hAnsi="Georgia"/>
                                <w:color w:val="auto"/>
                                <w:sz w:val="16"/>
                                <w:szCs w:val="16"/>
                              </w:rPr>
                              <w:t xml:space="preserve">Source: FactSet. </w:t>
                            </w:r>
                            <w:r w:rsidR="004024CE">
                              <w:rPr>
                                <w:rFonts w:ascii="Georgia" w:hAnsi="Georgia"/>
                                <w:color w:val="auto"/>
                                <w:sz w:val="16"/>
                                <w:szCs w:val="16"/>
                              </w:rPr>
                              <w:t>From December 31, 1994 to October 31,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DDA2A" id="Text Box 1713779312" o:spid="_x0000_s1034" type="#_x0000_t202" style="position:absolute;left:0;text-align:left;margin-left:0;margin-top:236.9pt;width:235.85pt;height:13.6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" stroked="f">
                <v:textbox inset="0,0,0,0">
                  <w:txbxContent>
                    <w:p w14:paraId="0A998F02" w14:textId="0DDC223B" w:rsidR="000A1A7D" w:rsidRPr="0007644D" w:rsidRDefault="000A1A7D" w:rsidP="000A1A7D">
                      <w:pPr>
                        <w:pStyle w:val="Caption1"/>
                        <w:jc w:val="center"/>
                        <w:rPr>
                          <w:rFonts w:ascii="Georgia" w:eastAsia="Arial Unicode MS" w:hAnsi="Georgia"/>
                          <w:noProof/>
                          <w:color w:val="auto"/>
                          <w:sz w:val="22"/>
                          <w:szCs w:val="22"/>
                        </w:rPr>
                      </w:pPr>
                      <w:r w:rsidRPr="0007644D">
                        <w:rPr>
                          <w:rFonts w:ascii="Georgia" w:hAnsi="Georgia"/>
                          <w:color w:val="auto"/>
                          <w:sz w:val="16"/>
                          <w:szCs w:val="16"/>
                        </w:rPr>
                        <w:t xml:space="preserve">Source: FactSet. </w:t>
                      </w:r>
                      <w:r w:rsidR="004024CE">
                        <w:rPr>
                          <w:rFonts w:ascii="Georgia" w:hAnsi="Georgia"/>
                          <w:color w:val="auto"/>
                          <w:sz w:val="16"/>
                          <w:szCs w:val="16"/>
                        </w:rPr>
                        <w:t>From December 31, 1994 to October 31, 2025.</w:t>
                      </w:r>
                    </w:p>
                  </w:txbxContent>
                </v:textbox>
                <w10:wrap type="topAndBottom" anchorx="margin"/>
              </v:shape>
            </w:pict>
          </mc:Fallback>
        </mc:AlternateContent>
      </w:r>
      <w:r>
        <w:rPr>
          <w:rFonts w:ascii="Georgia" w:hAnsi="Georgia"/>
          <w:noProof/>
          <w:color w:val="EE0000"/>
          <w:sz w:val="20"/>
          <w:szCs w:val="20"/>
        </w:rPr>
        <w:drawing>
          <wp:anchor distT="0" distB="0" distL="114300" distR="114300" simplePos="0" relativeHeight="251659264" behindDoc="0" locked="0" layoutInCell="1" allowOverlap="1" wp14:anchorId="27351F81" wp14:editId="2CF3F6F6">
            <wp:simplePos x="0" y="0"/>
            <wp:positionH relativeFrom="page">
              <wp:align>center</wp:align>
            </wp:positionH>
            <wp:positionV relativeFrom="paragraph">
              <wp:posOffset>95535</wp:posOffset>
            </wp:positionV>
            <wp:extent cx="5214771" cy="2933191"/>
            <wp:effectExtent l="0" t="0" r="5080" b="635"/>
            <wp:wrapTopAndBottom/>
            <wp:docPr id="19146003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4771" cy="2933191"/>
                    </a:xfrm>
                    <a:prstGeom prst="rect">
                      <a:avLst/>
                    </a:prstGeom>
                    <a:noFill/>
                  </pic:spPr>
                </pic:pic>
              </a:graphicData>
            </a:graphic>
          </wp:anchor>
        </w:drawing>
      </w:r>
    </w:p>
    <w:p w14:paraId="1485FA11" w14:textId="5D4339B1" w:rsidR="00DB1418" w:rsidRPr="00026BC0" w:rsidRDefault="00DB1418" w:rsidP="00DB1418">
      <w:pPr>
        <w:spacing w:line="360" w:lineRule="auto"/>
        <w:ind w:left="-288"/>
        <w:rPr>
          <w:rFonts w:ascii="Georgia" w:hAnsi="Georgia"/>
          <w:sz w:val="20"/>
          <w:szCs w:val="20"/>
        </w:rPr>
      </w:pPr>
      <w:r w:rsidRPr="00026BC0">
        <w:rPr>
          <w:rFonts w:ascii="Georgia" w:hAnsi="Georgia"/>
          <w:sz w:val="20"/>
          <w:szCs w:val="20"/>
        </w:rPr>
        <w:t>•</w:t>
      </w:r>
      <w:r w:rsidRPr="00026BC0">
        <w:rPr>
          <w:rFonts w:ascii="Georgia" w:hAnsi="Georgia"/>
          <w:sz w:val="20"/>
          <w:szCs w:val="20"/>
        </w:rPr>
        <w:tab/>
        <w:t>As of October 31, 202</w:t>
      </w:r>
      <w:r w:rsidR="00026BC0" w:rsidRPr="00026BC0">
        <w:rPr>
          <w:rFonts w:ascii="Georgia" w:hAnsi="Georgia"/>
          <w:sz w:val="20"/>
          <w:szCs w:val="20"/>
        </w:rPr>
        <w:t>5</w:t>
      </w:r>
      <w:r w:rsidRPr="00026BC0">
        <w:rPr>
          <w:rFonts w:ascii="Georgia" w:hAnsi="Georgia"/>
          <w:sz w:val="20"/>
          <w:szCs w:val="20"/>
        </w:rPr>
        <w:t>, the Bloomberg U.S. High Yield Corporate Bond spread over U.S. Treasuries was 2.8</w:t>
      </w:r>
      <w:r w:rsidR="00F20FB0" w:rsidRPr="00026BC0">
        <w:rPr>
          <w:rFonts w:ascii="Georgia" w:hAnsi="Georgia"/>
          <w:sz w:val="20"/>
          <w:szCs w:val="20"/>
        </w:rPr>
        <w:t>1</w:t>
      </w:r>
      <w:r w:rsidRPr="00026BC0">
        <w:rPr>
          <w:rFonts w:ascii="Georgia" w:hAnsi="Georgia"/>
          <w:sz w:val="20"/>
          <w:szCs w:val="20"/>
        </w:rPr>
        <w:t>%, which is 2.</w:t>
      </w:r>
      <w:r w:rsidR="00026BC0" w:rsidRPr="00026BC0">
        <w:rPr>
          <w:rFonts w:ascii="Georgia" w:hAnsi="Georgia"/>
          <w:sz w:val="20"/>
          <w:szCs w:val="20"/>
        </w:rPr>
        <w:t>05</w:t>
      </w:r>
      <w:r w:rsidRPr="00026BC0">
        <w:rPr>
          <w:rFonts w:ascii="Georgia" w:hAnsi="Georgia"/>
          <w:sz w:val="20"/>
          <w:szCs w:val="20"/>
        </w:rPr>
        <w:t>% below the long-term historical average of 4.</w:t>
      </w:r>
      <w:r w:rsidR="00F20FB0" w:rsidRPr="00026BC0">
        <w:rPr>
          <w:rFonts w:ascii="Georgia" w:hAnsi="Georgia"/>
          <w:sz w:val="20"/>
          <w:szCs w:val="20"/>
        </w:rPr>
        <w:t>86</w:t>
      </w:r>
      <w:r w:rsidRPr="00026BC0">
        <w:rPr>
          <w:rFonts w:ascii="Georgia" w:hAnsi="Georgia"/>
          <w:sz w:val="20"/>
          <w:szCs w:val="20"/>
        </w:rPr>
        <w:t xml:space="preserve">% since December 1994. </w:t>
      </w:r>
    </w:p>
    <w:p w14:paraId="72D71851" w14:textId="73CB361E" w:rsidR="00DB1418" w:rsidRPr="009733C6" w:rsidRDefault="00DB1418" w:rsidP="00DB1418">
      <w:pPr>
        <w:spacing w:line="360" w:lineRule="auto"/>
        <w:ind w:left="-288"/>
        <w:rPr>
          <w:rFonts w:ascii="Georgia" w:hAnsi="Georgia"/>
          <w:sz w:val="20"/>
          <w:szCs w:val="20"/>
        </w:rPr>
      </w:pPr>
      <w:r w:rsidRPr="00026BC0">
        <w:rPr>
          <w:rFonts w:ascii="Georgia" w:hAnsi="Georgia"/>
          <w:sz w:val="20"/>
          <w:szCs w:val="20"/>
        </w:rPr>
        <w:t>•</w:t>
      </w:r>
      <w:r w:rsidRPr="00026BC0">
        <w:rPr>
          <w:rFonts w:ascii="Georgia" w:hAnsi="Georgia"/>
          <w:sz w:val="20"/>
          <w:szCs w:val="20"/>
        </w:rPr>
        <w:tab/>
        <w:t xml:space="preserve">This represents a </w:t>
      </w:r>
      <w:r w:rsidRPr="000F5BEE">
        <w:rPr>
          <w:rFonts w:ascii="Georgia" w:hAnsi="Georgia"/>
          <w:sz w:val="20"/>
          <w:szCs w:val="20"/>
        </w:rPr>
        <w:t>spread tightening of 1 basis point on a year-over-year basis (from October 202</w:t>
      </w:r>
      <w:r w:rsidR="00026BC0" w:rsidRPr="000F5BEE">
        <w:rPr>
          <w:rFonts w:ascii="Georgia" w:hAnsi="Georgia"/>
          <w:sz w:val="20"/>
          <w:szCs w:val="20"/>
        </w:rPr>
        <w:t>4</w:t>
      </w:r>
      <w:r w:rsidRPr="000F5BEE">
        <w:rPr>
          <w:rFonts w:ascii="Georgia" w:hAnsi="Georgia"/>
          <w:sz w:val="20"/>
          <w:szCs w:val="20"/>
        </w:rPr>
        <w:t xml:space="preserve">), which comes </w:t>
      </w:r>
      <w:r w:rsidRPr="009733C6">
        <w:rPr>
          <w:rFonts w:ascii="Georgia" w:hAnsi="Georgia"/>
          <w:sz w:val="20"/>
          <w:szCs w:val="20"/>
        </w:rPr>
        <w:t>from a lower yield on the index (-</w:t>
      </w:r>
      <w:r w:rsidR="00522C5E" w:rsidRPr="009733C6">
        <w:rPr>
          <w:rFonts w:ascii="Georgia" w:hAnsi="Georgia"/>
          <w:sz w:val="20"/>
          <w:szCs w:val="20"/>
        </w:rPr>
        <w:t>55</w:t>
      </w:r>
      <w:r w:rsidRPr="009733C6">
        <w:rPr>
          <w:rFonts w:ascii="Georgia" w:hAnsi="Georgia"/>
          <w:sz w:val="20"/>
          <w:szCs w:val="20"/>
        </w:rPr>
        <w:t xml:space="preserve"> bps), and a decline in Treasury yields (-</w:t>
      </w:r>
      <w:r w:rsidR="000F5BEE" w:rsidRPr="009733C6">
        <w:rPr>
          <w:rFonts w:ascii="Georgia" w:hAnsi="Georgia"/>
          <w:sz w:val="20"/>
          <w:szCs w:val="20"/>
        </w:rPr>
        <w:t>17</w:t>
      </w:r>
      <w:r w:rsidRPr="009733C6">
        <w:rPr>
          <w:rFonts w:ascii="Georgia" w:hAnsi="Georgia"/>
          <w:sz w:val="20"/>
          <w:szCs w:val="20"/>
        </w:rPr>
        <w:t xml:space="preserve"> bps for the U.S. </w:t>
      </w:r>
    </w:p>
    <w:p w14:paraId="40CCD9D5" w14:textId="77777777" w:rsidR="00DB1418" w:rsidRPr="009733C6" w:rsidRDefault="00DB1418" w:rsidP="00DB1418">
      <w:pPr>
        <w:spacing w:line="360" w:lineRule="auto"/>
        <w:ind w:left="-288"/>
        <w:rPr>
          <w:rFonts w:ascii="Georgia" w:hAnsi="Georgia"/>
          <w:sz w:val="20"/>
          <w:szCs w:val="20"/>
        </w:rPr>
      </w:pPr>
      <w:r w:rsidRPr="009733C6">
        <w:rPr>
          <w:rFonts w:ascii="Georgia" w:hAnsi="Georgia"/>
          <w:sz w:val="20"/>
          <w:szCs w:val="20"/>
        </w:rPr>
        <w:t>10-Year Treasury).</w:t>
      </w:r>
    </w:p>
    <w:p w14:paraId="0DCD8458" w14:textId="4009A6B1" w:rsidR="00DB1418" w:rsidRPr="00B40E01" w:rsidRDefault="00DB1418" w:rsidP="00DB1418">
      <w:pPr>
        <w:spacing w:line="360" w:lineRule="auto"/>
        <w:ind w:left="-288"/>
        <w:rPr>
          <w:rFonts w:ascii="Georgia" w:hAnsi="Georgia"/>
          <w:sz w:val="20"/>
          <w:szCs w:val="20"/>
        </w:rPr>
      </w:pPr>
      <w:r w:rsidRPr="009733C6">
        <w:rPr>
          <w:rFonts w:ascii="Georgia" w:hAnsi="Georgia"/>
          <w:sz w:val="20"/>
          <w:szCs w:val="20"/>
        </w:rPr>
        <w:t>•</w:t>
      </w:r>
      <w:r w:rsidRPr="009733C6">
        <w:rPr>
          <w:rFonts w:ascii="Georgia" w:hAnsi="Georgia"/>
          <w:sz w:val="20"/>
          <w:szCs w:val="20"/>
        </w:rPr>
        <w:tab/>
        <w:t>From August 1983 to October 202</w:t>
      </w:r>
      <w:r w:rsidR="009733C6" w:rsidRPr="009733C6">
        <w:rPr>
          <w:rFonts w:ascii="Georgia" w:hAnsi="Georgia"/>
          <w:sz w:val="20"/>
          <w:szCs w:val="20"/>
        </w:rPr>
        <w:t>5</w:t>
      </w:r>
      <w:r w:rsidRPr="009733C6">
        <w:rPr>
          <w:rFonts w:ascii="Georgia" w:hAnsi="Georgia"/>
          <w:sz w:val="20"/>
          <w:szCs w:val="20"/>
        </w:rPr>
        <w:t xml:space="preserve">, the Bloomberg U.S. Corporate High Yield Index returned an annualized 8.33% versus 6.22% for the </w:t>
      </w:r>
      <w:r w:rsidRPr="00B40E01">
        <w:rPr>
          <w:rFonts w:ascii="Georgia" w:hAnsi="Georgia"/>
          <w:sz w:val="20"/>
          <w:szCs w:val="20"/>
        </w:rPr>
        <w:t>Bloomberg U.S. Aggregate Bond Index. This represents a historical risk premium of 2.11% for high yield bonds (over investment-grade intermediate bonds).</w:t>
      </w:r>
    </w:p>
    <w:p w14:paraId="7EB9F6BD" w14:textId="509F6B73" w:rsidR="00D15DB2" w:rsidRDefault="00DB1418" w:rsidP="00DB1418">
      <w:pPr>
        <w:spacing w:line="360" w:lineRule="auto"/>
        <w:ind w:left="-288"/>
        <w:rPr>
          <w:rFonts w:ascii="Georgia" w:hAnsi="Georgia"/>
          <w:sz w:val="20"/>
          <w:szCs w:val="20"/>
        </w:rPr>
      </w:pPr>
      <w:r w:rsidRPr="00B40E01">
        <w:rPr>
          <w:rFonts w:ascii="Georgia" w:hAnsi="Georgia"/>
          <w:sz w:val="20"/>
          <w:szCs w:val="20"/>
        </w:rPr>
        <w:t>•</w:t>
      </w:r>
      <w:r w:rsidRPr="00B40E01">
        <w:rPr>
          <w:rFonts w:ascii="Georgia" w:hAnsi="Georgia"/>
          <w:sz w:val="20"/>
          <w:szCs w:val="20"/>
        </w:rPr>
        <w:tab/>
        <w:t>Bank of America’s current forecast for U.S. high yield default rate is 2.</w:t>
      </w:r>
      <w:r w:rsidR="006317C9" w:rsidRPr="00B40E01">
        <w:rPr>
          <w:rFonts w:ascii="Georgia" w:hAnsi="Georgia"/>
          <w:sz w:val="20"/>
          <w:szCs w:val="20"/>
        </w:rPr>
        <w:t>1</w:t>
      </w:r>
      <w:r w:rsidRPr="00B40E01">
        <w:rPr>
          <w:rFonts w:ascii="Georgia" w:hAnsi="Georgia"/>
          <w:sz w:val="20"/>
          <w:szCs w:val="20"/>
        </w:rPr>
        <w:t xml:space="preserve">% through </w:t>
      </w:r>
      <w:r w:rsidR="00B40E01" w:rsidRPr="00B40E01">
        <w:rPr>
          <w:rFonts w:ascii="Georgia" w:hAnsi="Georgia"/>
          <w:sz w:val="20"/>
          <w:szCs w:val="20"/>
        </w:rPr>
        <w:t>October</w:t>
      </w:r>
      <w:r w:rsidRPr="00B40E01">
        <w:rPr>
          <w:rFonts w:ascii="Georgia" w:hAnsi="Georgia"/>
          <w:sz w:val="20"/>
          <w:szCs w:val="20"/>
        </w:rPr>
        <w:t xml:space="preserve"> 202</w:t>
      </w:r>
      <w:r w:rsidR="00B40E01" w:rsidRPr="00B40E01">
        <w:rPr>
          <w:rFonts w:ascii="Georgia" w:hAnsi="Georgia"/>
          <w:sz w:val="20"/>
          <w:szCs w:val="20"/>
        </w:rPr>
        <w:t>5</w:t>
      </w:r>
      <w:r w:rsidRPr="00B40E01">
        <w:rPr>
          <w:rFonts w:ascii="Georgia" w:hAnsi="Georgia"/>
          <w:sz w:val="20"/>
          <w:szCs w:val="20"/>
        </w:rPr>
        <w:t>, which remains low by historical standards and modestly lower compared to last year.</w:t>
      </w:r>
    </w:p>
    <w:p w14:paraId="57E83212" w14:textId="77777777" w:rsidR="00592FC0" w:rsidRDefault="00592FC0" w:rsidP="00592FC0">
      <w:pPr>
        <w:spacing w:line="360" w:lineRule="auto"/>
        <w:ind w:left="-288"/>
        <w:rPr>
          <w:rFonts w:ascii="Georgia" w:hAnsi="Georgia"/>
          <w:i/>
          <w:iCs/>
          <w:sz w:val="16"/>
          <w:szCs w:val="16"/>
        </w:rPr>
      </w:pPr>
    </w:p>
    <w:p w14:paraId="024BF02D" w14:textId="77777777" w:rsidR="00592FC0" w:rsidRDefault="00592FC0" w:rsidP="00592FC0">
      <w:pPr>
        <w:spacing w:line="360" w:lineRule="auto"/>
        <w:ind w:left="-288"/>
        <w:rPr>
          <w:rFonts w:ascii="Georgia" w:hAnsi="Georgia"/>
          <w:i/>
          <w:iCs/>
          <w:sz w:val="16"/>
          <w:szCs w:val="16"/>
        </w:rPr>
      </w:pPr>
    </w:p>
    <w:p w14:paraId="42AF5A5D" w14:textId="77777777" w:rsidR="00592FC0" w:rsidRDefault="00592FC0" w:rsidP="00592FC0">
      <w:pPr>
        <w:spacing w:line="360" w:lineRule="auto"/>
        <w:ind w:left="-288"/>
        <w:rPr>
          <w:rFonts w:ascii="Georgia" w:hAnsi="Georgia"/>
          <w:i/>
          <w:iCs/>
          <w:sz w:val="16"/>
          <w:szCs w:val="16"/>
        </w:rPr>
      </w:pPr>
    </w:p>
    <w:p w14:paraId="6673682C" w14:textId="77777777" w:rsidR="00592FC0" w:rsidRDefault="00592FC0" w:rsidP="00592FC0">
      <w:pPr>
        <w:spacing w:line="360" w:lineRule="auto"/>
        <w:ind w:left="-288"/>
        <w:rPr>
          <w:rFonts w:ascii="Georgia" w:hAnsi="Georgia"/>
          <w:i/>
          <w:iCs/>
          <w:sz w:val="16"/>
          <w:szCs w:val="16"/>
        </w:rPr>
      </w:pPr>
    </w:p>
    <w:p w14:paraId="1363C2ED" w14:textId="77777777" w:rsidR="00592FC0" w:rsidRDefault="00592FC0" w:rsidP="00592FC0">
      <w:pPr>
        <w:spacing w:line="360" w:lineRule="auto"/>
        <w:ind w:left="-288"/>
        <w:rPr>
          <w:rFonts w:ascii="Georgia" w:hAnsi="Georgia"/>
          <w:i/>
          <w:iCs/>
          <w:sz w:val="16"/>
          <w:szCs w:val="16"/>
        </w:rPr>
      </w:pPr>
    </w:p>
    <w:p w14:paraId="43BF8AA8" w14:textId="77777777" w:rsidR="00592FC0" w:rsidRDefault="00592FC0" w:rsidP="00592FC0">
      <w:pPr>
        <w:spacing w:line="360" w:lineRule="auto"/>
        <w:ind w:left="-288"/>
        <w:rPr>
          <w:rFonts w:ascii="Georgia" w:hAnsi="Georgia"/>
          <w:i/>
          <w:iCs/>
          <w:sz w:val="16"/>
          <w:szCs w:val="16"/>
        </w:rPr>
      </w:pPr>
    </w:p>
    <w:p w14:paraId="2E69B633" w14:textId="77777777" w:rsidR="00592FC0" w:rsidRDefault="00592FC0" w:rsidP="00592FC0">
      <w:pPr>
        <w:spacing w:line="360" w:lineRule="auto"/>
        <w:ind w:left="-288"/>
        <w:rPr>
          <w:rFonts w:ascii="Georgia" w:hAnsi="Georgia"/>
          <w:i/>
          <w:iCs/>
          <w:sz w:val="16"/>
          <w:szCs w:val="16"/>
        </w:rPr>
      </w:pPr>
    </w:p>
    <w:p w14:paraId="425F56AA" w14:textId="77777777" w:rsidR="00592FC0" w:rsidRDefault="00592FC0" w:rsidP="00592FC0">
      <w:pPr>
        <w:spacing w:line="360" w:lineRule="auto"/>
        <w:ind w:left="-288"/>
        <w:rPr>
          <w:rFonts w:ascii="Georgia" w:hAnsi="Georgia"/>
          <w:i/>
          <w:iCs/>
          <w:sz w:val="16"/>
          <w:szCs w:val="16"/>
        </w:rPr>
      </w:pPr>
    </w:p>
    <w:p w14:paraId="53BFD4F9" w14:textId="77777777" w:rsidR="00592FC0" w:rsidRDefault="00592FC0" w:rsidP="00592FC0">
      <w:pPr>
        <w:spacing w:line="360" w:lineRule="auto"/>
        <w:ind w:left="-288"/>
        <w:rPr>
          <w:rFonts w:ascii="Georgia" w:hAnsi="Georgia"/>
          <w:i/>
          <w:iCs/>
          <w:sz w:val="16"/>
          <w:szCs w:val="16"/>
        </w:rPr>
      </w:pPr>
    </w:p>
    <w:p w14:paraId="7F6F0015" w14:textId="77777777" w:rsidR="00592FC0" w:rsidRDefault="00592FC0" w:rsidP="00592FC0">
      <w:pPr>
        <w:spacing w:line="360" w:lineRule="auto"/>
        <w:ind w:left="-288"/>
        <w:rPr>
          <w:rFonts w:ascii="Georgia" w:hAnsi="Georgia"/>
          <w:i/>
          <w:iCs/>
          <w:sz w:val="16"/>
          <w:szCs w:val="16"/>
        </w:rPr>
      </w:pPr>
    </w:p>
    <w:p w14:paraId="0E757028" w14:textId="77777777" w:rsidR="00592FC0" w:rsidRDefault="00592FC0" w:rsidP="00592FC0">
      <w:pPr>
        <w:spacing w:line="360" w:lineRule="auto"/>
        <w:ind w:left="-288"/>
        <w:rPr>
          <w:rFonts w:ascii="Georgia" w:hAnsi="Georgia"/>
          <w:i/>
          <w:iCs/>
          <w:sz w:val="16"/>
          <w:szCs w:val="16"/>
        </w:rPr>
      </w:pPr>
    </w:p>
    <w:p w14:paraId="6259D178" w14:textId="4A5C5532" w:rsidR="00592FC0" w:rsidRPr="008D289C" w:rsidRDefault="00592FC0" w:rsidP="00592FC0">
      <w:pPr>
        <w:spacing w:line="360" w:lineRule="auto"/>
        <w:ind w:left="-288"/>
        <w:rPr>
          <w:rFonts w:ascii="Georgia" w:hAnsi="Georgia"/>
          <w:i/>
          <w:iCs/>
          <w:sz w:val="16"/>
          <w:szCs w:val="16"/>
        </w:rPr>
      </w:pPr>
      <w:r w:rsidRPr="008D289C">
        <w:rPr>
          <w:rFonts w:ascii="Georgia" w:hAnsi="Georgia"/>
          <w:i/>
          <w:iCs/>
          <w:sz w:val="16"/>
          <w:szCs w:val="16"/>
        </w:rPr>
        <w:t xml:space="preserve">Use of Indices and Benchmark Return Indices cannot be </w:t>
      </w:r>
      <w:proofErr w:type="gramStart"/>
      <w:r w:rsidRPr="008D289C">
        <w:rPr>
          <w:rFonts w:ascii="Georgia" w:hAnsi="Georgia"/>
          <w:i/>
          <w:iCs/>
          <w:sz w:val="16"/>
          <w:szCs w:val="16"/>
        </w:rPr>
        <w:t>invested in</w:t>
      </w:r>
      <w:proofErr w:type="gramEnd"/>
      <w:r w:rsidRPr="008D289C">
        <w:rPr>
          <w:rFonts w:ascii="Georgia" w:hAnsi="Georgia"/>
          <w:i/>
          <w:iCs/>
          <w:sz w:val="16"/>
          <w:szCs w:val="16"/>
        </w:rPr>
        <w:t xml:space="preserve"> directly. Index performance is reported gross of fees and expenses and assumes the reinvest dividends and capital gains. Past performance does not indicate future performance and there is a possibility of a loss. See disclosure page for indices representing each asset class.</w:t>
      </w:r>
    </w:p>
    <w:p w14:paraId="2AE2C002" w14:textId="08D457F6" w:rsidR="00DB1418" w:rsidRDefault="00592FC0" w:rsidP="00DB1418">
      <w:pPr>
        <w:spacing w:line="360" w:lineRule="auto"/>
        <w:ind w:left="-288"/>
        <w:rPr>
          <w:rFonts w:ascii="Georgia" w:hAnsi="Georgia"/>
          <w:color w:val="EE0000"/>
          <w:sz w:val="20"/>
          <w:szCs w:val="20"/>
        </w:rPr>
      </w:pPr>
      <w:r w:rsidRPr="001915D7">
        <w:rPr>
          <w:noProof/>
        </w:rPr>
        <w:lastRenderedPageBreak/>
        <mc:AlternateContent>
          <mc:Choice Requires="wps">
            <w:drawing>
              <wp:anchor distT="0" distB="0" distL="114300" distR="114300" simplePos="0" relativeHeight="251663360" behindDoc="1" locked="0" layoutInCell="1" allowOverlap="1" wp14:anchorId="0596D1E4" wp14:editId="6B5EF41D">
                <wp:simplePos x="0" y="0"/>
                <wp:positionH relativeFrom="page">
                  <wp:align>center</wp:align>
                </wp:positionH>
                <wp:positionV relativeFrom="paragraph">
                  <wp:posOffset>2711339</wp:posOffset>
                </wp:positionV>
                <wp:extent cx="4683125" cy="272415"/>
                <wp:effectExtent l="0" t="0" r="3175" b="0"/>
                <wp:wrapTopAndBottom/>
                <wp:docPr id="41" name="Text Box 41"/>
                <wp:cNvGraphicFramePr/>
                <a:graphic xmlns:a="http://schemas.openxmlformats.org/drawingml/2006/main">
                  <a:graphicData uri="http://schemas.microsoft.com/office/word/2010/wordprocessingShape">
                    <wps:wsp>
                      <wps:cNvSpPr txBox="1"/>
                      <wps:spPr>
                        <a:xfrm>
                          <a:off x="0" y="0"/>
                          <a:ext cx="4683125" cy="272415"/>
                        </a:xfrm>
                        <a:prstGeom prst="rect">
                          <a:avLst/>
                        </a:prstGeom>
                        <a:solidFill>
                          <a:prstClr val="white"/>
                        </a:solidFill>
                        <a:ln>
                          <a:noFill/>
                        </a:ln>
                      </wps:spPr>
                      <wps:txbx>
                        <w:txbxContent>
                          <w:p w14:paraId="2B32C92A" w14:textId="473C6B4D" w:rsidR="00FF69D9" w:rsidRPr="00846801" w:rsidRDefault="00FF69D9" w:rsidP="00FF69D9">
                            <w:pPr>
                              <w:pStyle w:val="Caption"/>
                              <w:jc w:val="center"/>
                              <w:rPr>
                                <w:rFonts w:ascii="Georgia" w:eastAsia="Arial Unicode MS" w:hAnsi="Georgia"/>
                                <w:noProof/>
                                <w:color w:val="auto"/>
                                <w:sz w:val="22"/>
                                <w:szCs w:val="22"/>
                              </w:rPr>
                            </w:pPr>
                            <w:r w:rsidRPr="00846801">
                              <w:rPr>
                                <w:rFonts w:ascii="Georgia" w:hAnsi="Georgia"/>
                                <w:color w:val="auto"/>
                                <w:sz w:val="16"/>
                                <w:szCs w:val="16"/>
                              </w:rPr>
                              <w:t>Source: Credit Suisse through 2013, Moody’s from 2014-2021 and Bank of America 2022-202</w:t>
                            </w:r>
                            <w:r w:rsidR="00B760DB" w:rsidRPr="00846801">
                              <w:rPr>
                                <w:rFonts w:ascii="Georgia" w:hAnsi="Georgia"/>
                                <w:color w:val="auto"/>
                                <w:sz w:val="16"/>
                                <w:szCs w:val="16"/>
                              </w:rPr>
                              <w:t>5</w:t>
                            </w:r>
                            <w:r w:rsidRPr="00846801">
                              <w:rPr>
                                <w:rFonts w:ascii="Georgia" w:hAnsi="Georgia"/>
                                <w:color w:val="auto"/>
                                <w:sz w:val="16"/>
                                <w:szCs w:val="16"/>
                              </w:rPr>
                              <w:t>, including 202</w:t>
                            </w:r>
                            <w:r w:rsidR="00B760DB" w:rsidRPr="00846801">
                              <w:rPr>
                                <w:rFonts w:ascii="Georgia" w:hAnsi="Georgia"/>
                                <w:color w:val="auto"/>
                                <w:sz w:val="16"/>
                                <w:szCs w:val="16"/>
                              </w:rPr>
                              <w:t>5</w:t>
                            </w:r>
                            <w:r w:rsidRPr="00846801">
                              <w:rPr>
                                <w:rFonts w:ascii="Georgia" w:hAnsi="Georgia"/>
                                <w:color w:val="auto"/>
                                <w:sz w:val="16"/>
                                <w:szCs w:val="16"/>
                              </w:rPr>
                              <w:t xml:space="preserve"> estimate as of </w:t>
                            </w:r>
                            <w:r w:rsidR="00B760DB" w:rsidRPr="00846801">
                              <w:rPr>
                                <w:rFonts w:ascii="Georgia" w:hAnsi="Georgia"/>
                                <w:color w:val="auto"/>
                                <w:sz w:val="16"/>
                                <w:szCs w:val="16"/>
                              </w:rPr>
                              <w:t>October 31</w:t>
                            </w:r>
                            <w:r w:rsidRPr="00846801">
                              <w:rPr>
                                <w:rFonts w:ascii="Georgia" w:hAnsi="Georgia"/>
                                <w:color w:val="auto"/>
                                <w:sz w:val="16"/>
                                <w:szCs w:val="16"/>
                              </w:rPr>
                              <w:t>, 202</w:t>
                            </w:r>
                            <w:r w:rsidR="00B760DB" w:rsidRPr="00846801">
                              <w:rPr>
                                <w:rFonts w:ascii="Georgia" w:hAnsi="Georgia"/>
                                <w:color w:val="auto"/>
                                <w:sz w:val="16"/>
                                <w:szCs w:val="1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6D1E4" id="Text Box 41" o:spid="_x0000_s1035" type="#_x0000_t202" style="position:absolute;left:0;text-align:left;margin-left:0;margin-top:213.5pt;width:368.75pt;height:21.45pt;z-index:-2516531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" stroked="f">
                <v:textbox inset="0,0,0,0">
                  <w:txbxContent>
                    <w:p w14:paraId="2B32C92A" w14:textId="473C6B4D" w:rsidR="00FF69D9" w:rsidRPr="00846801" w:rsidRDefault="00FF69D9" w:rsidP="00FF69D9">
                      <w:pPr>
                        <w:pStyle w:val="Caption"/>
                        <w:jc w:val="center"/>
                        <w:rPr>
                          <w:rFonts w:ascii="Georgia" w:eastAsia="Arial Unicode MS" w:hAnsi="Georgia"/>
                          <w:noProof/>
                          <w:color w:val="auto"/>
                          <w:sz w:val="22"/>
                          <w:szCs w:val="22"/>
                        </w:rPr>
                      </w:pPr>
                      <w:r w:rsidRPr="00846801">
                        <w:rPr>
                          <w:rFonts w:ascii="Georgia" w:hAnsi="Georgia"/>
                          <w:color w:val="auto"/>
                          <w:sz w:val="16"/>
                          <w:szCs w:val="16"/>
                        </w:rPr>
                        <w:t>Source: Credit Suisse through 2013, Moody’s from 2014-2021 and Bank of America 2022-202</w:t>
                      </w:r>
                      <w:r w:rsidR="00B760DB" w:rsidRPr="00846801">
                        <w:rPr>
                          <w:rFonts w:ascii="Georgia" w:hAnsi="Georgia"/>
                          <w:color w:val="auto"/>
                          <w:sz w:val="16"/>
                          <w:szCs w:val="16"/>
                        </w:rPr>
                        <w:t>5</w:t>
                      </w:r>
                      <w:r w:rsidRPr="00846801">
                        <w:rPr>
                          <w:rFonts w:ascii="Georgia" w:hAnsi="Georgia"/>
                          <w:color w:val="auto"/>
                          <w:sz w:val="16"/>
                          <w:szCs w:val="16"/>
                        </w:rPr>
                        <w:t>, including 202</w:t>
                      </w:r>
                      <w:r w:rsidR="00B760DB" w:rsidRPr="00846801">
                        <w:rPr>
                          <w:rFonts w:ascii="Georgia" w:hAnsi="Georgia"/>
                          <w:color w:val="auto"/>
                          <w:sz w:val="16"/>
                          <w:szCs w:val="16"/>
                        </w:rPr>
                        <w:t>5</w:t>
                      </w:r>
                      <w:r w:rsidRPr="00846801">
                        <w:rPr>
                          <w:rFonts w:ascii="Georgia" w:hAnsi="Georgia"/>
                          <w:color w:val="auto"/>
                          <w:sz w:val="16"/>
                          <w:szCs w:val="16"/>
                        </w:rPr>
                        <w:t xml:space="preserve"> estimate as of </w:t>
                      </w:r>
                      <w:r w:rsidR="00B760DB" w:rsidRPr="00846801">
                        <w:rPr>
                          <w:rFonts w:ascii="Georgia" w:hAnsi="Georgia"/>
                          <w:color w:val="auto"/>
                          <w:sz w:val="16"/>
                          <w:szCs w:val="16"/>
                        </w:rPr>
                        <w:t>October 31</w:t>
                      </w:r>
                      <w:r w:rsidRPr="00846801">
                        <w:rPr>
                          <w:rFonts w:ascii="Georgia" w:hAnsi="Georgia"/>
                          <w:color w:val="auto"/>
                          <w:sz w:val="16"/>
                          <w:szCs w:val="16"/>
                        </w:rPr>
                        <w:t>, 202</w:t>
                      </w:r>
                      <w:r w:rsidR="00B760DB" w:rsidRPr="00846801">
                        <w:rPr>
                          <w:rFonts w:ascii="Georgia" w:hAnsi="Georgia"/>
                          <w:color w:val="auto"/>
                          <w:sz w:val="16"/>
                          <w:szCs w:val="16"/>
                        </w:rPr>
                        <w:t>5</w:t>
                      </w:r>
                    </w:p>
                  </w:txbxContent>
                </v:textbox>
                <w10:wrap type="topAndBottom" anchorx="page"/>
              </v:shape>
            </w:pict>
          </mc:Fallback>
        </mc:AlternateContent>
      </w:r>
      <w:r>
        <w:rPr>
          <w:rFonts w:ascii="Georgia" w:hAnsi="Georgia"/>
          <w:noProof/>
          <w:color w:val="EE0000"/>
          <w:sz w:val="20"/>
          <w:szCs w:val="20"/>
        </w:rPr>
        <w:drawing>
          <wp:anchor distT="0" distB="0" distL="114300" distR="114300" simplePos="0" relativeHeight="251666432" behindDoc="0" locked="0" layoutInCell="1" allowOverlap="1" wp14:anchorId="6CBF3420" wp14:editId="66D3616A">
            <wp:simplePos x="0" y="0"/>
            <wp:positionH relativeFrom="page">
              <wp:align>center</wp:align>
            </wp:positionH>
            <wp:positionV relativeFrom="paragraph">
              <wp:posOffset>0</wp:posOffset>
            </wp:positionV>
            <wp:extent cx="5186045" cy="2663190"/>
            <wp:effectExtent l="0" t="0" r="0" b="3810"/>
            <wp:wrapTopAndBottom/>
            <wp:docPr id="11604357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6045" cy="2663190"/>
                    </a:xfrm>
                    <a:prstGeom prst="rect">
                      <a:avLst/>
                    </a:prstGeom>
                    <a:noFill/>
                  </pic:spPr>
                </pic:pic>
              </a:graphicData>
            </a:graphic>
          </wp:anchor>
        </w:drawing>
      </w:r>
    </w:p>
    <w:p w14:paraId="195784DF" w14:textId="517D2AA8" w:rsidR="00A27B9F" w:rsidRDefault="00592FC0" w:rsidP="00DB1418">
      <w:pPr>
        <w:spacing w:line="360" w:lineRule="auto"/>
        <w:ind w:left="-288"/>
        <w:rPr>
          <w:rFonts w:ascii="Georgia" w:hAnsi="Georgia"/>
          <w:color w:val="EE0000"/>
          <w:sz w:val="20"/>
          <w:szCs w:val="20"/>
        </w:rPr>
      </w:pPr>
      <w:r w:rsidRPr="00F657DB">
        <w:rPr>
          <w:rFonts w:ascii="Georgia" w:eastAsia="MS Mincho" w:hAnsi="Georgia" w:cs="Times New Roman"/>
          <w:noProof/>
          <w:color w:val="FF0000"/>
        </w:rPr>
        <mc:AlternateContent>
          <mc:Choice Requires="wps">
            <w:drawing>
              <wp:anchor distT="0" distB="0" distL="114300" distR="114300" simplePos="0" relativeHeight="251669504" behindDoc="1" locked="0" layoutInCell="1" allowOverlap="1" wp14:anchorId="44BCC186" wp14:editId="68B7AFCA">
                <wp:simplePos x="0" y="0"/>
                <wp:positionH relativeFrom="margin">
                  <wp:posOffset>135172</wp:posOffset>
                </wp:positionH>
                <wp:positionV relativeFrom="paragraph">
                  <wp:posOffset>2409936</wp:posOffset>
                </wp:positionV>
                <wp:extent cx="5940425" cy="180975"/>
                <wp:effectExtent l="0" t="0" r="3175" b="9525"/>
                <wp:wrapTopAndBottom/>
                <wp:docPr id="49" name="Text Box 49"/>
                <wp:cNvGraphicFramePr/>
                <a:graphic xmlns:a="http://schemas.openxmlformats.org/drawingml/2006/main">
                  <a:graphicData uri="http://schemas.microsoft.com/office/word/2010/wordprocessingShape">
                    <wps:wsp>
                      <wps:cNvSpPr txBox="1"/>
                      <wps:spPr>
                        <a:xfrm>
                          <a:off x="0" y="0"/>
                          <a:ext cx="5940425" cy="180975"/>
                        </a:xfrm>
                        <a:prstGeom prst="rect">
                          <a:avLst/>
                        </a:prstGeom>
                        <a:solidFill>
                          <a:prstClr val="white"/>
                        </a:solidFill>
                        <a:ln>
                          <a:noFill/>
                        </a:ln>
                      </wps:spPr>
                      <wps:txbx>
                        <w:txbxContent>
                          <w:p w14:paraId="3AD07E51" w14:textId="66DEA581" w:rsidR="00000F8A" w:rsidRPr="00000F8A" w:rsidRDefault="00000F8A" w:rsidP="00000F8A">
                            <w:pPr>
                              <w:pStyle w:val="Caption"/>
                              <w:jc w:val="center"/>
                              <w:rPr>
                                <w:rFonts w:ascii="Georgia" w:eastAsia="Arial Unicode MS" w:hAnsi="Georgia"/>
                                <w:noProof/>
                                <w:color w:val="auto"/>
                                <w:sz w:val="22"/>
                                <w:szCs w:val="22"/>
                              </w:rPr>
                            </w:pPr>
                            <w:r w:rsidRPr="00000F8A">
                              <w:rPr>
                                <w:rFonts w:ascii="Georgia" w:hAnsi="Georgia"/>
                                <w:color w:val="auto"/>
                                <w:sz w:val="16"/>
                                <w:szCs w:val="16"/>
                              </w:rPr>
                              <w:t xml:space="preserve">Source: Credit Suisse, Moody’s, FTSE, Bloomberg, Bank of America, Fiducient Advisors Analysis. As of </w:t>
                            </w:r>
                            <w:r>
                              <w:rPr>
                                <w:rFonts w:ascii="Georgia" w:hAnsi="Georgia"/>
                                <w:color w:val="auto"/>
                                <w:sz w:val="16"/>
                                <w:szCs w:val="16"/>
                              </w:rPr>
                              <w:t>October 31,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C186" id="Text Box 49" o:spid="_x0000_s1036" type="#_x0000_t202" style="position:absolute;left:0;text-align:left;margin-left:10.65pt;margin-top:189.75pt;width:467.75pt;height:14.2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" stroked="f">
                <v:textbox inset="0,0,0,0">
                  <w:txbxContent>
                    <w:p w14:paraId="3AD07E51" w14:textId="66DEA581" w:rsidR="00000F8A" w:rsidRPr="00000F8A" w:rsidRDefault="00000F8A" w:rsidP="00000F8A">
                      <w:pPr>
                        <w:pStyle w:val="Caption"/>
                        <w:jc w:val="center"/>
                        <w:rPr>
                          <w:rFonts w:ascii="Georgia" w:eastAsia="Arial Unicode MS" w:hAnsi="Georgia"/>
                          <w:noProof/>
                          <w:color w:val="auto"/>
                          <w:sz w:val="22"/>
                          <w:szCs w:val="22"/>
                        </w:rPr>
                      </w:pPr>
                      <w:r w:rsidRPr="00000F8A">
                        <w:rPr>
                          <w:rFonts w:ascii="Georgia" w:hAnsi="Georgia"/>
                          <w:color w:val="auto"/>
                          <w:sz w:val="16"/>
                          <w:szCs w:val="16"/>
                        </w:rPr>
                        <w:t xml:space="preserve">Source: Credit Suisse, Moody’s, FTSE, Bloomberg, Bank of America, Fiducient Advisors Analysis. As of </w:t>
                      </w:r>
                      <w:r>
                        <w:rPr>
                          <w:rFonts w:ascii="Georgia" w:hAnsi="Georgia"/>
                          <w:color w:val="auto"/>
                          <w:sz w:val="16"/>
                          <w:szCs w:val="16"/>
                        </w:rPr>
                        <w:t>October 31, 2025</w:t>
                      </w:r>
                    </w:p>
                  </w:txbxContent>
                </v:textbox>
                <w10:wrap type="topAndBottom" anchorx="margin"/>
              </v:shape>
            </w:pict>
          </mc:Fallback>
        </mc:AlternateContent>
      </w:r>
      <w:r w:rsidR="005E7BB2" w:rsidRPr="00F657DB">
        <w:rPr>
          <w:rFonts w:ascii="Georgia" w:hAnsi="Georgia"/>
          <w:noProof/>
          <w:color w:val="EE0000"/>
          <w:sz w:val="20"/>
          <w:szCs w:val="20"/>
        </w:rPr>
        <w:drawing>
          <wp:inline distT="0" distB="0" distL="0" distR="0" wp14:anchorId="2435AD1F" wp14:editId="4EF8D004">
            <wp:extent cx="3234520" cy="2307785"/>
            <wp:effectExtent l="0" t="0" r="4445" b="0"/>
            <wp:docPr id="21020338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3024" cy="2320987"/>
                    </a:xfrm>
                    <a:prstGeom prst="rect">
                      <a:avLst/>
                    </a:prstGeom>
                    <a:noFill/>
                  </pic:spPr>
                </pic:pic>
              </a:graphicData>
            </a:graphic>
          </wp:inline>
        </w:drawing>
      </w:r>
      <w:r w:rsidR="00677A0D" w:rsidRPr="00F657DB">
        <w:rPr>
          <w:rFonts w:ascii="Georgia" w:hAnsi="Georgia"/>
          <w:noProof/>
          <w:color w:val="EE0000"/>
          <w:sz w:val="20"/>
          <w:szCs w:val="20"/>
        </w:rPr>
        <w:drawing>
          <wp:inline distT="0" distB="0" distL="0" distR="0" wp14:anchorId="4B44E73B" wp14:editId="78B34A18">
            <wp:extent cx="3070746" cy="2291715"/>
            <wp:effectExtent l="0" t="0" r="0" b="0"/>
            <wp:docPr id="21385899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3275" cy="2330918"/>
                    </a:xfrm>
                    <a:prstGeom prst="rect">
                      <a:avLst/>
                    </a:prstGeom>
                    <a:noFill/>
                  </pic:spPr>
                </pic:pic>
              </a:graphicData>
            </a:graphic>
          </wp:inline>
        </w:drawing>
      </w:r>
    </w:p>
    <w:p w14:paraId="4FCFD33C" w14:textId="0429C527" w:rsidR="00000F8A" w:rsidRDefault="00000F8A" w:rsidP="00DB1418">
      <w:pPr>
        <w:spacing w:line="360" w:lineRule="auto"/>
        <w:ind w:left="-288"/>
        <w:rPr>
          <w:rFonts w:ascii="Georgia" w:hAnsi="Georgia"/>
          <w:color w:val="EE0000"/>
          <w:sz w:val="20"/>
          <w:szCs w:val="20"/>
        </w:rPr>
      </w:pPr>
    </w:p>
    <w:p w14:paraId="055036BC" w14:textId="7DD17226" w:rsidR="00253CE5" w:rsidRPr="00BA6ABE" w:rsidRDefault="00253CE5" w:rsidP="00253CE5">
      <w:pPr>
        <w:spacing w:line="360" w:lineRule="auto"/>
        <w:ind w:left="-288"/>
        <w:rPr>
          <w:rFonts w:ascii="Georgia" w:hAnsi="Georgia"/>
          <w:sz w:val="20"/>
          <w:szCs w:val="20"/>
        </w:rPr>
      </w:pPr>
      <w:r w:rsidRPr="00B13D2B">
        <w:rPr>
          <w:rFonts w:ascii="Georgia" w:hAnsi="Georgia"/>
          <w:sz w:val="20"/>
          <w:szCs w:val="20"/>
        </w:rPr>
        <w:t>•</w:t>
      </w:r>
      <w:r w:rsidRPr="00B13D2B">
        <w:rPr>
          <w:rFonts w:ascii="Georgia" w:hAnsi="Georgia"/>
          <w:sz w:val="20"/>
          <w:szCs w:val="20"/>
        </w:rPr>
        <w:tab/>
        <w:t xml:space="preserve">The geometric return forecast is derived from the High Yield Default-Loss Method, where expected return is a function of </w:t>
      </w:r>
      <w:r w:rsidRPr="00BA6ABE">
        <w:rPr>
          <w:rFonts w:ascii="Georgia" w:hAnsi="Georgia"/>
          <w:sz w:val="20"/>
          <w:szCs w:val="20"/>
        </w:rPr>
        <w:t>current credit spreads, our internal expected default rates and expected recovery rates.</w:t>
      </w:r>
    </w:p>
    <w:p w14:paraId="54963AAE" w14:textId="2113EF8D" w:rsidR="00DB1418" w:rsidRDefault="00253CE5" w:rsidP="00253CE5">
      <w:pPr>
        <w:spacing w:line="360" w:lineRule="auto"/>
        <w:ind w:left="-288"/>
        <w:rPr>
          <w:rFonts w:ascii="Georgia" w:hAnsi="Georgia"/>
          <w:sz w:val="20"/>
          <w:szCs w:val="20"/>
        </w:rPr>
      </w:pPr>
      <w:r w:rsidRPr="00BA6ABE">
        <w:rPr>
          <w:rFonts w:ascii="Georgia" w:hAnsi="Georgia"/>
          <w:sz w:val="20"/>
          <w:szCs w:val="20"/>
        </w:rPr>
        <w:t>•</w:t>
      </w:r>
      <w:r w:rsidRPr="00BA6ABE">
        <w:rPr>
          <w:rFonts w:ascii="Georgia" w:hAnsi="Georgia"/>
          <w:sz w:val="20"/>
          <w:szCs w:val="20"/>
        </w:rPr>
        <w:tab/>
        <w:t xml:space="preserve">Each year end’s high yield credit spread is used to estimate the following year’s default rate (left pane) from 1985 to </w:t>
      </w:r>
      <w:proofErr w:type="gramStart"/>
      <w:r w:rsidRPr="00BA6ABE">
        <w:rPr>
          <w:rFonts w:ascii="Georgia" w:hAnsi="Georgia"/>
          <w:sz w:val="20"/>
          <w:szCs w:val="20"/>
        </w:rPr>
        <w:t>202</w:t>
      </w:r>
      <w:r w:rsidR="00BA6ABE" w:rsidRPr="00BA6ABE">
        <w:rPr>
          <w:rFonts w:ascii="Georgia" w:hAnsi="Georgia"/>
          <w:sz w:val="20"/>
          <w:szCs w:val="20"/>
        </w:rPr>
        <w:t>5</w:t>
      </w:r>
      <w:proofErr w:type="gramEnd"/>
      <w:r w:rsidRPr="00BA6ABE">
        <w:rPr>
          <w:rFonts w:ascii="Georgia" w:hAnsi="Georgia"/>
          <w:sz w:val="20"/>
          <w:szCs w:val="20"/>
        </w:rPr>
        <w:t xml:space="preserve"> and each year’s actual default rate is used to predict an implied recovery rate using four different mathematical relationships (right pane).</w:t>
      </w:r>
    </w:p>
    <w:p w14:paraId="4FC7423A" w14:textId="77777777" w:rsidR="00592FC0" w:rsidRDefault="00592FC0" w:rsidP="00592FC0">
      <w:pPr>
        <w:spacing w:line="360" w:lineRule="auto"/>
        <w:ind w:left="-288"/>
        <w:rPr>
          <w:rFonts w:ascii="Georgia" w:hAnsi="Georgia"/>
          <w:i/>
          <w:iCs/>
          <w:sz w:val="16"/>
          <w:szCs w:val="16"/>
        </w:rPr>
      </w:pPr>
    </w:p>
    <w:p w14:paraId="2094DCDD" w14:textId="77777777" w:rsidR="00592FC0" w:rsidRDefault="00592FC0" w:rsidP="00592FC0">
      <w:pPr>
        <w:spacing w:line="360" w:lineRule="auto"/>
        <w:ind w:left="-288"/>
        <w:rPr>
          <w:rFonts w:ascii="Georgia" w:hAnsi="Georgia"/>
          <w:i/>
          <w:iCs/>
          <w:sz w:val="16"/>
          <w:szCs w:val="16"/>
        </w:rPr>
      </w:pPr>
    </w:p>
    <w:p w14:paraId="697A787B" w14:textId="77777777" w:rsidR="00592FC0" w:rsidRDefault="00592FC0" w:rsidP="00592FC0">
      <w:pPr>
        <w:spacing w:line="360" w:lineRule="auto"/>
        <w:ind w:left="-288"/>
        <w:rPr>
          <w:rFonts w:ascii="Georgia" w:hAnsi="Georgia"/>
          <w:i/>
          <w:iCs/>
          <w:sz w:val="16"/>
          <w:szCs w:val="16"/>
        </w:rPr>
      </w:pPr>
    </w:p>
    <w:p w14:paraId="7EA5F4DB" w14:textId="1A6CF521" w:rsidR="00592FC0" w:rsidRPr="008D289C" w:rsidRDefault="00592FC0" w:rsidP="00592FC0">
      <w:pPr>
        <w:spacing w:line="360" w:lineRule="auto"/>
        <w:ind w:left="-288"/>
        <w:rPr>
          <w:rFonts w:ascii="Georgia" w:hAnsi="Georgia"/>
          <w:i/>
          <w:iCs/>
          <w:sz w:val="16"/>
          <w:szCs w:val="16"/>
        </w:rPr>
      </w:pPr>
      <w:r w:rsidRPr="008D289C">
        <w:rPr>
          <w:rFonts w:ascii="Georgia" w:hAnsi="Georgia"/>
          <w:i/>
          <w:iCs/>
          <w:sz w:val="16"/>
          <w:szCs w:val="16"/>
        </w:rPr>
        <w:t xml:space="preserve">Use of Indices and Benchmark Return Indices cannot be </w:t>
      </w:r>
      <w:proofErr w:type="gramStart"/>
      <w:r w:rsidRPr="008D289C">
        <w:rPr>
          <w:rFonts w:ascii="Georgia" w:hAnsi="Georgia"/>
          <w:i/>
          <w:iCs/>
          <w:sz w:val="16"/>
          <w:szCs w:val="16"/>
        </w:rPr>
        <w:t>invested in</w:t>
      </w:r>
      <w:proofErr w:type="gramEnd"/>
      <w:r w:rsidRPr="008D289C">
        <w:rPr>
          <w:rFonts w:ascii="Georgia" w:hAnsi="Georgia"/>
          <w:i/>
          <w:iCs/>
          <w:sz w:val="16"/>
          <w:szCs w:val="16"/>
        </w:rPr>
        <w:t xml:space="preserve"> directly. Index performance is reported gross of fees and expenses and assumes the reinvest dividends and capital gains. Past performance does not indicate future performance and there is a possibility of a loss. See disclosure page for indices representing each asset class.</w:t>
      </w:r>
    </w:p>
    <w:p w14:paraId="59D593FF" w14:textId="0B4486FE" w:rsidR="00DB1418" w:rsidRPr="00440835" w:rsidRDefault="003A33B2" w:rsidP="004F1676">
      <w:pPr>
        <w:spacing w:line="360" w:lineRule="auto"/>
        <w:ind w:left="-288"/>
        <w:jc w:val="center"/>
        <w:rPr>
          <w:rFonts w:ascii="Georgia" w:hAnsi="Georgia"/>
          <w:b/>
          <w:bCs/>
          <w:sz w:val="20"/>
          <w:szCs w:val="20"/>
          <w:u w:val="single"/>
        </w:rPr>
      </w:pPr>
      <w:r w:rsidRPr="00083F3D">
        <w:rPr>
          <w:rFonts w:ascii="Georgia" w:eastAsia="MS Mincho" w:hAnsi="Georgia" w:cs="Times New Roman"/>
          <w:noProof/>
          <w:color w:val="FF0000"/>
        </w:rPr>
        <w:lastRenderedPageBreak/>
        <mc:AlternateContent>
          <mc:Choice Requires="wps">
            <w:drawing>
              <wp:anchor distT="0" distB="0" distL="114300" distR="114300" simplePos="0" relativeHeight="251664384" behindDoc="1" locked="0" layoutInCell="1" allowOverlap="1" wp14:anchorId="6641642D" wp14:editId="5EFB7DD0">
                <wp:simplePos x="0" y="0"/>
                <wp:positionH relativeFrom="margin">
                  <wp:align>center</wp:align>
                </wp:positionH>
                <wp:positionV relativeFrom="paragraph">
                  <wp:posOffset>1870880</wp:posOffset>
                </wp:positionV>
                <wp:extent cx="6377305" cy="180975"/>
                <wp:effectExtent l="0" t="0" r="4445" b="9525"/>
                <wp:wrapTopAndBottom/>
                <wp:docPr id="1717426070" name="Text Box 1717426070"/>
                <wp:cNvGraphicFramePr/>
                <a:graphic xmlns:a="http://schemas.openxmlformats.org/drawingml/2006/main">
                  <a:graphicData uri="http://schemas.microsoft.com/office/word/2010/wordprocessingShape">
                    <wps:wsp>
                      <wps:cNvSpPr txBox="1"/>
                      <wps:spPr>
                        <a:xfrm>
                          <a:off x="0" y="0"/>
                          <a:ext cx="6377305" cy="180975"/>
                        </a:xfrm>
                        <a:prstGeom prst="rect">
                          <a:avLst/>
                        </a:prstGeom>
                        <a:solidFill>
                          <a:prstClr val="white"/>
                        </a:solidFill>
                        <a:ln>
                          <a:noFill/>
                        </a:ln>
                      </wps:spPr>
                      <wps:txbx>
                        <w:txbxContent>
                          <w:p w14:paraId="751F593F" w14:textId="6BC78C7A" w:rsidR="00083F3D" w:rsidRPr="003A33B2" w:rsidRDefault="00083F3D" w:rsidP="00083F3D">
                            <w:pPr>
                              <w:pStyle w:val="Caption"/>
                              <w:jc w:val="center"/>
                              <w:rPr>
                                <w:rFonts w:ascii="Georgia" w:eastAsia="Arial Unicode MS" w:hAnsi="Georgia"/>
                                <w:noProof/>
                                <w:color w:val="auto"/>
                                <w:sz w:val="22"/>
                                <w:szCs w:val="22"/>
                              </w:rPr>
                            </w:pPr>
                            <w:r w:rsidRPr="003A33B2">
                              <w:rPr>
                                <w:rFonts w:ascii="Georgia" w:hAnsi="Georgia"/>
                                <w:color w:val="auto"/>
                                <w:sz w:val="16"/>
                                <w:szCs w:val="16"/>
                              </w:rPr>
                              <w:t>Source: Credit Suisse, Moody’s, FTSE, Bloomberg, Bank of America, Fiducient Advisors Analysis. As of October 31,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41642D" id="Text Box 1717426070" o:spid="_x0000_s1037" type="#_x0000_t202" style="position:absolute;left:0;text-align:left;margin-left:0;margin-top:147.3pt;width:502.15pt;height:14.25pt;z-index:-2516520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" stroked="f">
                <v:textbox inset="0,0,0,0">
                  <w:txbxContent>
                    <w:p w14:paraId="751F593F" w14:textId="6BC78C7A" w:rsidR="00083F3D" w:rsidRPr="003A33B2" w:rsidRDefault="00083F3D" w:rsidP="00083F3D">
                      <w:pPr>
                        <w:pStyle w:val="Caption"/>
                        <w:jc w:val="center"/>
                        <w:rPr>
                          <w:rFonts w:ascii="Georgia" w:eastAsia="Arial Unicode MS" w:hAnsi="Georgia"/>
                          <w:noProof/>
                          <w:color w:val="auto"/>
                          <w:sz w:val="22"/>
                          <w:szCs w:val="22"/>
                        </w:rPr>
                      </w:pPr>
                      <w:r w:rsidRPr="003A33B2">
                        <w:rPr>
                          <w:rFonts w:ascii="Georgia" w:hAnsi="Georgia"/>
                          <w:color w:val="auto"/>
                          <w:sz w:val="16"/>
                          <w:szCs w:val="16"/>
                        </w:rPr>
                        <w:t>Source: Credit Suisse, Moody’s, FTSE, Bloomberg, Bank of America, Fiducient Advisors Analysis. As of October 31, 2025.</w:t>
                      </w:r>
                    </w:p>
                  </w:txbxContent>
                </v:textbox>
                <w10:wrap type="topAndBottom" anchorx="margin"/>
              </v:shape>
            </w:pict>
          </mc:Fallback>
        </mc:AlternateContent>
      </w:r>
      <w:r w:rsidRPr="003A33B2">
        <w:rPr>
          <w:noProof/>
        </w:rPr>
        <w:drawing>
          <wp:anchor distT="0" distB="0" distL="114300" distR="114300" simplePos="0" relativeHeight="251665408" behindDoc="0" locked="0" layoutInCell="1" allowOverlap="1" wp14:anchorId="7378D3FE" wp14:editId="2FE88B23">
            <wp:simplePos x="0" y="0"/>
            <wp:positionH relativeFrom="page">
              <wp:align>center</wp:align>
            </wp:positionH>
            <wp:positionV relativeFrom="paragraph">
              <wp:posOffset>245575</wp:posOffset>
            </wp:positionV>
            <wp:extent cx="6229350" cy="1564005"/>
            <wp:effectExtent l="0" t="0" r="0" b="0"/>
            <wp:wrapTopAndBottom/>
            <wp:docPr id="12350256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29350" cy="1564005"/>
                    </a:xfrm>
                    <a:prstGeom prst="rect">
                      <a:avLst/>
                    </a:prstGeom>
                    <a:noFill/>
                    <a:ln>
                      <a:noFill/>
                    </a:ln>
                  </pic:spPr>
                </pic:pic>
              </a:graphicData>
            </a:graphic>
          </wp:anchor>
        </w:drawing>
      </w:r>
      <w:r w:rsidR="00440835" w:rsidRPr="00440835">
        <w:rPr>
          <w:rFonts w:ascii="Georgia" w:hAnsi="Georgia"/>
          <w:b/>
          <w:bCs/>
          <w:sz w:val="20"/>
          <w:szCs w:val="20"/>
          <w:u w:val="single"/>
        </w:rPr>
        <w:t>High Yield Default-Loss Method applied as of October 31, 202</w:t>
      </w:r>
      <w:r w:rsidR="00440835">
        <w:rPr>
          <w:rFonts w:ascii="Georgia" w:hAnsi="Georgia"/>
          <w:b/>
          <w:bCs/>
          <w:sz w:val="20"/>
          <w:szCs w:val="20"/>
          <w:u w:val="single"/>
        </w:rPr>
        <w:t>5</w:t>
      </w:r>
      <w:r w:rsidR="00FB34AD">
        <w:rPr>
          <w:rStyle w:val="FootnoteReference"/>
          <w:rFonts w:ascii="Georgia" w:hAnsi="Georgia"/>
          <w:b/>
          <w:bCs/>
          <w:sz w:val="20"/>
          <w:szCs w:val="20"/>
          <w:u w:val="single"/>
        </w:rPr>
        <w:footnoteReference w:id="3"/>
      </w:r>
    </w:p>
    <w:p w14:paraId="20369639" w14:textId="0FE39CE8" w:rsidR="004F1676" w:rsidRPr="003A33B2" w:rsidRDefault="004F1676" w:rsidP="00253CE5">
      <w:pPr>
        <w:spacing w:line="360" w:lineRule="auto"/>
        <w:ind w:left="-288"/>
        <w:rPr>
          <w:rFonts w:ascii="Georgia" w:hAnsi="Georgia"/>
          <w:sz w:val="20"/>
          <w:szCs w:val="20"/>
        </w:rPr>
      </w:pPr>
    </w:p>
    <w:p w14:paraId="28BBE2FF" w14:textId="63472C19" w:rsidR="009D136C" w:rsidRPr="009D136C" w:rsidRDefault="009D136C" w:rsidP="009D136C">
      <w:pPr>
        <w:spacing w:line="360" w:lineRule="auto"/>
        <w:ind w:left="-288"/>
        <w:rPr>
          <w:rFonts w:ascii="Georgia" w:hAnsi="Georgia"/>
          <w:color w:val="EE0000"/>
          <w:sz w:val="20"/>
          <w:szCs w:val="20"/>
        </w:rPr>
      </w:pPr>
      <w:r w:rsidRPr="003A33B2">
        <w:rPr>
          <w:rFonts w:ascii="Georgia" w:hAnsi="Georgia"/>
          <w:sz w:val="20"/>
          <w:szCs w:val="20"/>
        </w:rPr>
        <w:t>•</w:t>
      </w:r>
      <w:r w:rsidRPr="003A33B2">
        <w:rPr>
          <w:rFonts w:ascii="Georgia" w:hAnsi="Georgia"/>
          <w:sz w:val="20"/>
          <w:szCs w:val="20"/>
        </w:rPr>
        <w:tab/>
        <w:t xml:space="preserve">Based </w:t>
      </w:r>
      <w:r w:rsidRPr="00040184">
        <w:rPr>
          <w:rFonts w:ascii="Georgia" w:hAnsi="Georgia"/>
          <w:sz w:val="20"/>
          <w:szCs w:val="20"/>
        </w:rPr>
        <w:t>on the High Yield Default-Loss Method, the market is pricing in a 12-month forward looking 1.</w:t>
      </w:r>
      <w:r w:rsidR="003A33B2" w:rsidRPr="00040184">
        <w:rPr>
          <w:rFonts w:ascii="Georgia" w:hAnsi="Georgia"/>
          <w:sz w:val="20"/>
          <w:szCs w:val="20"/>
        </w:rPr>
        <w:t>5</w:t>
      </w:r>
      <w:r w:rsidRPr="00040184">
        <w:rPr>
          <w:rFonts w:ascii="Georgia" w:hAnsi="Georgia"/>
          <w:sz w:val="20"/>
          <w:szCs w:val="20"/>
        </w:rPr>
        <w:t>% annual expected default rate as of October 31, 202</w:t>
      </w:r>
      <w:r w:rsidR="00B760DB" w:rsidRPr="00040184">
        <w:rPr>
          <w:rFonts w:ascii="Georgia" w:hAnsi="Georgia"/>
          <w:sz w:val="20"/>
          <w:szCs w:val="20"/>
        </w:rPr>
        <w:t>5</w:t>
      </w:r>
      <w:r w:rsidRPr="00040184">
        <w:rPr>
          <w:rFonts w:ascii="Georgia" w:hAnsi="Georgia"/>
          <w:sz w:val="20"/>
          <w:szCs w:val="20"/>
        </w:rPr>
        <w:t>. This implies an expected recovery rate of around 4</w:t>
      </w:r>
      <w:r w:rsidR="003A33B2" w:rsidRPr="00040184">
        <w:rPr>
          <w:rFonts w:ascii="Georgia" w:hAnsi="Georgia"/>
          <w:sz w:val="20"/>
          <w:szCs w:val="20"/>
        </w:rPr>
        <w:t>8</w:t>
      </w:r>
      <w:r w:rsidRPr="00040184">
        <w:rPr>
          <w:rFonts w:ascii="Georgia" w:hAnsi="Georgia"/>
          <w:sz w:val="20"/>
          <w:szCs w:val="20"/>
        </w:rPr>
        <w:t xml:space="preserve">%, and subsequent annual loss rate of approximately </w:t>
      </w:r>
      <w:r w:rsidR="00040184" w:rsidRPr="00040184">
        <w:rPr>
          <w:rFonts w:ascii="Georgia" w:hAnsi="Georgia"/>
          <w:sz w:val="20"/>
          <w:szCs w:val="20"/>
        </w:rPr>
        <w:t>-</w:t>
      </w:r>
      <w:r w:rsidR="003A33B2" w:rsidRPr="00040184">
        <w:rPr>
          <w:rFonts w:ascii="Georgia" w:hAnsi="Georgia"/>
          <w:sz w:val="20"/>
          <w:szCs w:val="20"/>
        </w:rPr>
        <w:t>0.8</w:t>
      </w:r>
      <w:r w:rsidRPr="00040184">
        <w:rPr>
          <w:rFonts w:ascii="Georgia" w:hAnsi="Georgia"/>
          <w:sz w:val="20"/>
          <w:szCs w:val="20"/>
        </w:rPr>
        <w:t>%. This represents an estimate based on recent default and recovery rates. We believe the midpoint of the range of all methods reflects a sensible view of default losses over a full market cycle.</w:t>
      </w:r>
    </w:p>
    <w:p w14:paraId="738B5D44" w14:textId="6281AF88" w:rsidR="00DB1418" w:rsidRPr="009D136C" w:rsidRDefault="009D136C" w:rsidP="009D136C">
      <w:pPr>
        <w:spacing w:line="360" w:lineRule="auto"/>
        <w:ind w:left="-288"/>
        <w:rPr>
          <w:rFonts w:ascii="Georgia" w:hAnsi="Georgia"/>
          <w:b/>
          <w:bCs/>
          <w:color w:val="EE0000"/>
          <w:sz w:val="20"/>
          <w:szCs w:val="20"/>
        </w:rPr>
      </w:pPr>
      <w:r w:rsidRPr="003429FD">
        <w:rPr>
          <w:rFonts w:ascii="Georgia" w:hAnsi="Georgia"/>
          <w:b/>
          <w:bCs/>
          <w:sz w:val="20"/>
          <w:szCs w:val="20"/>
        </w:rPr>
        <w:t>10-Year Forecast of Annualized Geometric Return: 6.</w:t>
      </w:r>
      <w:r w:rsidR="003429FD" w:rsidRPr="003429FD">
        <w:rPr>
          <w:rFonts w:ascii="Georgia" w:hAnsi="Georgia"/>
          <w:b/>
          <w:bCs/>
          <w:sz w:val="20"/>
          <w:szCs w:val="20"/>
        </w:rPr>
        <w:t>0</w:t>
      </w:r>
      <w:r w:rsidRPr="003429FD">
        <w:rPr>
          <w:rFonts w:ascii="Georgia" w:hAnsi="Georgia"/>
          <w:b/>
          <w:bCs/>
          <w:sz w:val="20"/>
          <w:szCs w:val="20"/>
        </w:rPr>
        <w:t>%</w:t>
      </w:r>
    </w:p>
    <w:p w14:paraId="620D93D2" w14:textId="17A034A0" w:rsidR="00DB1418" w:rsidRDefault="00DB1418" w:rsidP="00DB1418">
      <w:pPr>
        <w:spacing w:line="360" w:lineRule="auto"/>
        <w:ind w:left="-288"/>
        <w:rPr>
          <w:rFonts w:ascii="Georgia" w:hAnsi="Georgia"/>
          <w:color w:val="EE0000"/>
          <w:sz w:val="20"/>
          <w:szCs w:val="20"/>
        </w:rPr>
      </w:pPr>
    </w:p>
    <w:p w14:paraId="234B2386" w14:textId="4243FFE8" w:rsidR="00FE7D14" w:rsidRPr="00FE7D14" w:rsidRDefault="00BE4BD5" w:rsidP="00FE7D14">
      <w:pPr>
        <w:spacing w:line="360" w:lineRule="auto"/>
        <w:ind w:left="-288"/>
        <w:rPr>
          <w:rFonts w:ascii="Georgia" w:hAnsi="Georgia"/>
          <w:color w:val="EE0000"/>
          <w:sz w:val="20"/>
          <w:szCs w:val="20"/>
        </w:rPr>
      </w:pPr>
      <w:r w:rsidRPr="00BE4BD5">
        <w:rPr>
          <w:rFonts w:ascii="Georgia" w:hAnsi="Georgia"/>
          <w:b/>
          <w:bCs/>
          <w:color w:val="002855"/>
          <w:sz w:val="20"/>
          <w:szCs w:val="20"/>
        </w:rPr>
        <w:t>FOREIGN DEVELOPED FIXED INCOME</w:t>
      </w:r>
      <w:r w:rsidR="00E47152" w:rsidRPr="004E721E">
        <w:rPr>
          <w:rFonts w:ascii="Georgia" w:hAnsi="Georgia"/>
          <w:b/>
          <w:bCs/>
          <w:color w:val="002855"/>
          <w:sz w:val="20"/>
          <w:szCs w:val="20"/>
        </w:rPr>
        <w:t>:</w:t>
      </w:r>
      <w:r w:rsidR="00E47152" w:rsidRPr="004E721E">
        <w:rPr>
          <w:rFonts w:ascii="Georgia" w:hAnsi="Georgia"/>
          <w:sz w:val="20"/>
          <w:szCs w:val="20"/>
        </w:rPr>
        <w:t xml:space="preserve"> </w:t>
      </w:r>
      <w:r w:rsidR="00FE7D14" w:rsidRPr="00B72AC0">
        <w:rPr>
          <w:rFonts w:ascii="Georgia" w:hAnsi="Georgia"/>
          <w:sz w:val="20"/>
          <w:szCs w:val="20"/>
        </w:rPr>
        <w:t>As of October 31, 202</w:t>
      </w:r>
      <w:r w:rsidR="00B72AC0" w:rsidRPr="00B72AC0">
        <w:rPr>
          <w:rFonts w:ascii="Georgia" w:hAnsi="Georgia"/>
          <w:sz w:val="20"/>
          <w:szCs w:val="20"/>
        </w:rPr>
        <w:t>5</w:t>
      </w:r>
      <w:r w:rsidR="00FE7D14" w:rsidRPr="00B72AC0">
        <w:rPr>
          <w:rFonts w:ascii="Georgia" w:hAnsi="Georgia"/>
          <w:sz w:val="20"/>
          <w:szCs w:val="20"/>
        </w:rPr>
        <w:t>, the FTSE World Government Bond ex-U.S. Index had a weighted average yield to maturity of 2.</w:t>
      </w:r>
      <w:r w:rsidR="007838BE">
        <w:rPr>
          <w:rFonts w:ascii="Georgia" w:hAnsi="Georgia"/>
          <w:sz w:val="20"/>
          <w:szCs w:val="20"/>
        </w:rPr>
        <w:t>99</w:t>
      </w:r>
      <w:r w:rsidR="00FE7D14" w:rsidRPr="00B72AC0">
        <w:rPr>
          <w:rFonts w:ascii="Georgia" w:hAnsi="Georgia"/>
          <w:sz w:val="20"/>
          <w:szCs w:val="20"/>
        </w:rPr>
        <w:t>% with an average maturity of 10.</w:t>
      </w:r>
      <w:r w:rsidR="00036D95">
        <w:rPr>
          <w:rFonts w:ascii="Georgia" w:hAnsi="Georgia"/>
          <w:sz w:val="20"/>
          <w:szCs w:val="20"/>
        </w:rPr>
        <w:t>8</w:t>
      </w:r>
      <w:r w:rsidR="00FE7D14" w:rsidRPr="00B72AC0">
        <w:rPr>
          <w:rFonts w:ascii="Georgia" w:hAnsi="Georgia"/>
          <w:sz w:val="20"/>
          <w:szCs w:val="20"/>
        </w:rPr>
        <w:t xml:space="preserve"> years and a </w:t>
      </w:r>
      <w:proofErr w:type="gramStart"/>
      <w:r w:rsidR="00FE7D14" w:rsidRPr="00B72AC0">
        <w:rPr>
          <w:rFonts w:ascii="Georgia" w:hAnsi="Georgia"/>
          <w:sz w:val="20"/>
          <w:szCs w:val="20"/>
        </w:rPr>
        <w:t>7.</w:t>
      </w:r>
      <w:r w:rsidR="00B72AC0" w:rsidRPr="00B72AC0">
        <w:rPr>
          <w:rFonts w:ascii="Georgia" w:hAnsi="Georgia"/>
          <w:sz w:val="20"/>
          <w:szCs w:val="20"/>
        </w:rPr>
        <w:t>3</w:t>
      </w:r>
      <w:r w:rsidR="00FE7D14" w:rsidRPr="00B72AC0">
        <w:rPr>
          <w:rFonts w:ascii="Georgia" w:hAnsi="Georgia"/>
          <w:sz w:val="20"/>
          <w:szCs w:val="20"/>
        </w:rPr>
        <w:t>6 year</w:t>
      </w:r>
      <w:proofErr w:type="gramEnd"/>
      <w:r w:rsidR="00FE7D14" w:rsidRPr="00B72AC0">
        <w:rPr>
          <w:rFonts w:ascii="Georgia" w:hAnsi="Georgia"/>
          <w:sz w:val="20"/>
          <w:szCs w:val="20"/>
        </w:rPr>
        <w:t xml:space="preserve"> average duration. Expected return is calculated by isolating the sovereign index yield and currency and/or credit components of the foreign developed bond market. The sovereign index yield component is calculated by taking the weighted average local bond market yield. Interest rate parity is then used to calculate the expected currency impact embedded in the foreign developed bond markets (in U.S. dollar terms). The difference in like-maturity rates across borders explains the currency Spot-Futures exchange rate relationship. If not, one could borrow in one currency, lend in the other and lock in an arbitrage profit. </w:t>
      </w:r>
    </w:p>
    <w:p w14:paraId="149EA273" w14:textId="77777777" w:rsidR="00FE7D14" w:rsidRPr="00FE7D14" w:rsidRDefault="00FE7D14" w:rsidP="00FE7D14">
      <w:pPr>
        <w:spacing w:line="360" w:lineRule="auto"/>
        <w:ind w:left="-288"/>
        <w:rPr>
          <w:rFonts w:ascii="Georgia" w:hAnsi="Georgia"/>
          <w:color w:val="EE0000"/>
          <w:sz w:val="20"/>
          <w:szCs w:val="20"/>
        </w:rPr>
      </w:pPr>
    </w:p>
    <w:p w14:paraId="24CAE4AE" w14:textId="77777777" w:rsidR="00FE7D14" w:rsidRPr="00F73BA8" w:rsidRDefault="00FE7D14" w:rsidP="00FE7D14">
      <w:pPr>
        <w:spacing w:line="360" w:lineRule="auto"/>
        <w:ind w:left="-288"/>
        <w:rPr>
          <w:rFonts w:ascii="Georgia" w:hAnsi="Georgia"/>
          <w:sz w:val="20"/>
          <w:szCs w:val="20"/>
        </w:rPr>
      </w:pPr>
      <w:r w:rsidRPr="00F73BA8">
        <w:rPr>
          <w:rFonts w:ascii="Georgia" w:hAnsi="Georgia"/>
          <w:sz w:val="20"/>
          <w:szCs w:val="20"/>
        </w:rPr>
        <w:t>Fixed Income Returns Decomposition Method: (YLD) +/- (IRP) +/- (CRE/CUR)</w:t>
      </w:r>
    </w:p>
    <w:p w14:paraId="16B3A4F4" w14:textId="166C2F95" w:rsidR="00FE7D14" w:rsidRPr="00F73BA8" w:rsidRDefault="00FE7D14" w:rsidP="00FE7D14">
      <w:pPr>
        <w:spacing w:line="360" w:lineRule="auto"/>
        <w:ind w:left="-288"/>
        <w:rPr>
          <w:rFonts w:ascii="Georgia" w:hAnsi="Georgia"/>
          <w:sz w:val="20"/>
          <w:szCs w:val="20"/>
        </w:rPr>
      </w:pPr>
      <w:r w:rsidRPr="00F73BA8">
        <w:rPr>
          <w:rFonts w:ascii="Georgia" w:hAnsi="Georgia"/>
          <w:sz w:val="20"/>
          <w:szCs w:val="20"/>
        </w:rPr>
        <w:t>10-Year Forecast (202</w:t>
      </w:r>
      <w:r w:rsidR="00B72AC0" w:rsidRPr="00F73BA8">
        <w:rPr>
          <w:rFonts w:ascii="Georgia" w:hAnsi="Georgia"/>
          <w:sz w:val="20"/>
          <w:szCs w:val="20"/>
        </w:rPr>
        <w:t>6</w:t>
      </w:r>
      <w:r w:rsidRPr="00F73BA8">
        <w:rPr>
          <w:rFonts w:ascii="Georgia" w:hAnsi="Georgia"/>
          <w:sz w:val="20"/>
          <w:szCs w:val="20"/>
        </w:rPr>
        <w:t xml:space="preserve"> - 203</w:t>
      </w:r>
      <w:r w:rsidR="00B72AC0" w:rsidRPr="00F73BA8">
        <w:rPr>
          <w:rFonts w:ascii="Georgia" w:hAnsi="Georgia"/>
          <w:sz w:val="20"/>
          <w:szCs w:val="20"/>
        </w:rPr>
        <w:t>5</w:t>
      </w:r>
      <w:r w:rsidRPr="00F73BA8">
        <w:rPr>
          <w:rFonts w:ascii="Georgia" w:hAnsi="Georgia"/>
          <w:sz w:val="20"/>
          <w:szCs w:val="20"/>
        </w:rPr>
        <w:t>): (2.</w:t>
      </w:r>
      <w:r w:rsidR="007044A4">
        <w:rPr>
          <w:rFonts w:ascii="Georgia" w:hAnsi="Georgia"/>
          <w:sz w:val="20"/>
          <w:szCs w:val="20"/>
        </w:rPr>
        <w:t>99</w:t>
      </w:r>
      <w:r w:rsidRPr="00F73BA8">
        <w:rPr>
          <w:rFonts w:ascii="Georgia" w:hAnsi="Georgia"/>
          <w:sz w:val="20"/>
          <w:szCs w:val="20"/>
        </w:rPr>
        <w:t>%) + (</w:t>
      </w:r>
      <w:r w:rsidR="00F73BA8" w:rsidRPr="00F73BA8">
        <w:rPr>
          <w:rFonts w:ascii="Georgia" w:hAnsi="Georgia"/>
          <w:sz w:val="20"/>
          <w:szCs w:val="20"/>
        </w:rPr>
        <w:t>0</w:t>
      </w:r>
      <w:r w:rsidR="00FE4E83">
        <w:rPr>
          <w:rFonts w:ascii="Georgia" w:hAnsi="Georgia"/>
          <w:sz w:val="20"/>
          <w:szCs w:val="20"/>
        </w:rPr>
        <w:t>.</w:t>
      </w:r>
      <w:r w:rsidR="00F73BA8" w:rsidRPr="00F73BA8">
        <w:rPr>
          <w:rFonts w:ascii="Georgia" w:hAnsi="Georgia"/>
          <w:sz w:val="20"/>
          <w:szCs w:val="20"/>
        </w:rPr>
        <w:t>96</w:t>
      </w:r>
      <w:r w:rsidRPr="00F73BA8">
        <w:rPr>
          <w:rFonts w:ascii="Georgia" w:hAnsi="Georgia"/>
          <w:sz w:val="20"/>
          <w:szCs w:val="20"/>
        </w:rPr>
        <w:t>%) + (-0.1</w:t>
      </w:r>
      <w:r w:rsidR="00F73BA8" w:rsidRPr="00F73BA8">
        <w:rPr>
          <w:rFonts w:ascii="Georgia" w:hAnsi="Georgia"/>
          <w:sz w:val="20"/>
          <w:szCs w:val="20"/>
        </w:rPr>
        <w:t>1</w:t>
      </w:r>
      <w:r w:rsidRPr="00F73BA8">
        <w:rPr>
          <w:rFonts w:ascii="Georgia" w:hAnsi="Georgia"/>
          <w:sz w:val="20"/>
          <w:szCs w:val="20"/>
        </w:rPr>
        <w:t xml:space="preserve">%) = </w:t>
      </w:r>
      <w:r w:rsidR="00F73BA8">
        <w:rPr>
          <w:rFonts w:ascii="Georgia" w:hAnsi="Georgia"/>
          <w:sz w:val="20"/>
          <w:szCs w:val="20"/>
        </w:rPr>
        <w:t>3.84</w:t>
      </w:r>
      <w:r w:rsidRPr="00F73BA8">
        <w:rPr>
          <w:rFonts w:ascii="Georgia" w:hAnsi="Georgia"/>
          <w:sz w:val="20"/>
          <w:szCs w:val="20"/>
        </w:rPr>
        <w:t>%</w:t>
      </w:r>
    </w:p>
    <w:p w14:paraId="04CBF1E5" w14:textId="77777777" w:rsidR="00FE7D14" w:rsidRPr="00F73BA8" w:rsidRDefault="00FE7D14" w:rsidP="00FE7D14">
      <w:pPr>
        <w:spacing w:line="360" w:lineRule="auto"/>
        <w:ind w:left="-288"/>
        <w:rPr>
          <w:rFonts w:ascii="Georgia" w:hAnsi="Georgia"/>
          <w:sz w:val="20"/>
          <w:szCs w:val="20"/>
        </w:rPr>
      </w:pPr>
      <w:r w:rsidRPr="00F73BA8">
        <w:rPr>
          <w:rFonts w:ascii="Georgia" w:hAnsi="Georgia"/>
          <w:sz w:val="20"/>
          <w:szCs w:val="20"/>
        </w:rPr>
        <w:t>•</w:t>
      </w:r>
      <w:r w:rsidRPr="00F73BA8">
        <w:rPr>
          <w:rFonts w:ascii="Georgia" w:hAnsi="Georgia"/>
          <w:sz w:val="20"/>
          <w:szCs w:val="20"/>
        </w:rPr>
        <w:tab/>
        <w:t>YLD = Index Yield</w:t>
      </w:r>
    </w:p>
    <w:p w14:paraId="1F0B9C16" w14:textId="77777777" w:rsidR="00FE7D14" w:rsidRPr="00F73BA8" w:rsidRDefault="00FE7D14" w:rsidP="00FE7D14">
      <w:pPr>
        <w:spacing w:line="360" w:lineRule="auto"/>
        <w:ind w:left="-288"/>
        <w:rPr>
          <w:rFonts w:ascii="Georgia" w:hAnsi="Georgia"/>
          <w:sz w:val="20"/>
          <w:szCs w:val="20"/>
        </w:rPr>
      </w:pPr>
      <w:r w:rsidRPr="00F73BA8">
        <w:rPr>
          <w:rFonts w:ascii="Georgia" w:hAnsi="Georgia"/>
          <w:sz w:val="20"/>
          <w:szCs w:val="20"/>
        </w:rPr>
        <w:t>•</w:t>
      </w:r>
      <w:r w:rsidRPr="00F73BA8">
        <w:rPr>
          <w:rFonts w:ascii="Georgia" w:hAnsi="Georgia"/>
          <w:sz w:val="20"/>
          <w:szCs w:val="20"/>
        </w:rPr>
        <w:tab/>
        <w:t>IRP = Interest Rate Parity Currency Adjustment</w:t>
      </w:r>
    </w:p>
    <w:p w14:paraId="4041793C" w14:textId="1B6FACD2" w:rsidR="00DB1418" w:rsidRPr="00F73BA8" w:rsidRDefault="00FE7D14" w:rsidP="00FE7D14">
      <w:pPr>
        <w:spacing w:line="360" w:lineRule="auto"/>
        <w:ind w:left="-288"/>
        <w:rPr>
          <w:rFonts w:ascii="Georgia" w:hAnsi="Georgia"/>
          <w:sz w:val="20"/>
          <w:szCs w:val="20"/>
        </w:rPr>
      </w:pPr>
      <w:r w:rsidRPr="00F73BA8">
        <w:rPr>
          <w:rFonts w:ascii="Georgia" w:hAnsi="Georgia"/>
          <w:sz w:val="20"/>
          <w:szCs w:val="20"/>
        </w:rPr>
        <w:t>•</w:t>
      </w:r>
      <w:r w:rsidRPr="00F73BA8">
        <w:rPr>
          <w:rFonts w:ascii="Georgia" w:hAnsi="Georgia"/>
          <w:sz w:val="20"/>
          <w:szCs w:val="20"/>
        </w:rPr>
        <w:tab/>
        <w:t>CRE/CUR = Sovereign Credit/Currency Adjustment</w:t>
      </w:r>
    </w:p>
    <w:p w14:paraId="5A2C7522" w14:textId="51480265" w:rsidR="00FE7D14" w:rsidRPr="008E7373" w:rsidRDefault="000D1A3F" w:rsidP="00110026">
      <w:pPr>
        <w:spacing w:line="360" w:lineRule="auto"/>
        <w:ind w:left="-288"/>
        <w:jc w:val="center"/>
        <w:rPr>
          <w:rFonts w:ascii="Georgia" w:hAnsi="Georgia"/>
          <w:b/>
          <w:bCs/>
          <w:color w:val="002855"/>
          <w:sz w:val="20"/>
          <w:szCs w:val="20"/>
        </w:rPr>
      </w:pPr>
      <w:r w:rsidRPr="000D1A3F">
        <w:rPr>
          <w:noProof/>
        </w:rPr>
        <w:lastRenderedPageBreak/>
        <w:drawing>
          <wp:anchor distT="0" distB="0" distL="114300" distR="114300" simplePos="0" relativeHeight="251671552" behindDoc="0" locked="0" layoutInCell="1" allowOverlap="1" wp14:anchorId="06CB8FE4" wp14:editId="450576CE">
            <wp:simplePos x="0" y="0"/>
            <wp:positionH relativeFrom="margin">
              <wp:posOffset>309880</wp:posOffset>
            </wp:positionH>
            <wp:positionV relativeFrom="paragraph">
              <wp:posOffset>190500</wp:posOffset>
            </wp:positionV>
            <wp:extent cx="5610225" cy="4747817"/>
            <wp:effectExtent l="0" t="0" r="0" b="0"/>
            <wp:wrapTopAndBottom/>
            <wp:docPr id="13751419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4747817"/>
                    </a:xfrm>
                    <a:prstGeom prst="rect">
                      <a:avLst/>
                    </a:prstGeom>
                    <a:noFill/>
                    <a:ln>
                      <a:noFill/>
                    </a:ln>
                  </pic:spPr>
                </pic:pic>
              </a:graphicData>
            </a:graphic>
          </wp:anchor>
        </w:drawing>
      </w:r>
      <w:r w:rsidR="004C5C38" w:rsidRPr="008E7373">
        <w:rPr>
          <w:rFonts w:ascii="Georgia" w:hAnsi="Georgia"/>
          <w:b/>
          <w:bCs/>
          <w:color w:val="002855"/>
          <w:sz w:val="20"/>
          <w:szCs w:val="20"/>
        </w:rPr>
        <w:t>Foreign Developed Bond Market Data as of October 31, 202</w:t>
      </w:r>
      <w:r w:rsidR="00A13476" w:rsidRPr="008E7373">
        <w:rPr>
          <w:b/>
          <w:bCs/>
          <w:noProof/>
          <w:color w:val="002855"/>
        </w:rPr>
        <mc:AlternateContent>
          <mc:Choice Requires="wps">
            <w:drawing>
              <wp:anchor distT="0" distB="0" distL="114300" distR="114300" simplePos="0" relativeHeight="251642880" behindDoc="1" locked="0" layoutInCell="1" allowOverlap="1" wp14:anchorId="306C8389" wp14:editId="3F700627">
                <wp:simplePos x="0" y="0"/>
                <wp:positionH relativeFrom="margin">
                  <wp:align>left</wp:align>
                </wp:positionH>
                <wp:positionV relativeFrom="paragraph">
                  <wp:posOffset>5015120</wp:posOffset>
                </wp:positionV>
                <wp:extent cx="5962650" cy="175895"/>
                <wp:effectExtent l="0" t="0" r="0" b="0"/>
                <wp:wrapTopAndBottom/>
                <wp:docPr id="51" name="Text Box 51"/>
                <wp:cNvGraphicFramePr/>
                <a:graphic xmlns:a="http://schemas.openxmlformats.org/drawingml/2006/main">
                  <a:graphicData uri="http://schemas.microsoft.com/office/word/2010/wordprocessingShape">
                    <wps:wsp>
                      <wps:cNvSpPr txBox="1"/>
                      <wps:spPr>
                        <a:xfrm>
                          <a:off x="0" y="0"/>
                          <a:ext cx="5962650" cy="175895"/>
                        </a:xfrm>
                        <a:prstGeom prst="rect">
                          <a:avLst/>
                        </a:prstGeom>
                        <a:solidFill>
                          <a:prstClr val="white"/>
                        </a:solidFill>
                        <a:ln>
                          <a:noFill/>
                        </a:ln>
                      </wps:spPr>
                      <wps:txbx>
                        <w:txbxContent>
                          <w:p w14:paraId="4F288A7D" w14:textId="2F9983F7" w:rsidR="00A13476" w:rsidRPr="00A13476" w:rsidRDefault="00A13476" w:rsidP="00A13476">
                            <w:pPr>
                              <w:pStyle w:val="Caption"/>
                              <w:jc w:val="center"/>
                              <w:rPr>
                                <w:rFonts w:ascii="Georgia" w:eastAsia="Arial Unicode MS" w:hAnsi="Georgia"/>
                                <w:noProof/>
                                <w:color w:val="auto"/>
                                <w:sz w:val="16"/>
                                <w:szCs w:val="16"/>
                              </w:rPr>
                            </w:pPr>
                            <w:r w:rsidRPr="00A13476">
                              <w:rPr>
                                <w:rFonts w:ascii="Georgia" w:hAnsi="Georgia"/>
                                <w:color w:val="auto"/>
                                <w:sz w:val="16"/>
                                <w:szCs w:val="16"/>
                              </w:rPr>
                              <w:t>Source: FactSet, FTSE, Fiducient Advisors Calculations. As of October 31, 202</w:t>
                            </w:r>
                            <w:r>
                              <w:rPr>
                                <w:rFonts w:ascii="Georgia" w:hAnsi="Georgia"/>
                                <w:color w:val="auto"/>
                                <w:sz w:val="16"/>
                                <w:szCs w:val="1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C8389" id="Text Box 51" o:spid="_x0000_s1038" type="#_x0000_t202" style="position:absolute;left:0;text-align:left;margin-left:0;margin-top:394.9pt;width:469.5pt;height:13.8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" stroked="f">
                <v:textbox inset="0,0,0,0">
                  <w:txbxContent>
                    <w:p w14:paraId="4F288A7D" w14:textId="2F9983F7" w:rsidR="00A13476" w:rsidRPr="00A13476" w:rsidRDefault="00A13476" w:rsidP="00A13476">
                      <w:pPr>
                        <w:pStyle w:val="Caption"/>
                        <w:jc w:val="center"/>
                        <w:rPr>
                          <w:rFonts w:ascii="Georgia" w:eastAsia="Arial Unicode MS" w:hAnsi="Georgia"/>
                          <w:noProof/>
                          <w:color w:val="auto"/>
                          <w:sz w:val="16"/>
                          <w:szCs w:val="16"/>
                        </w:rPr>
                      </w:pPr>
                      <w:r w:rsidRPr="00A13476">
                        <w:rPr>
                          <w:rFonts w:ascii="Georgia" w:hAnsi="Georgia"/>
                          <w:color w:val="auto"/>
                          <w:sz w:val="16"/>
                          <w:szCs w:val="16"/>
                        </w:rPr>
                        <w:t>Source: FactSet, FTSE, Fiducient Advisors Calculations. As of October 31, 202</w:t>
                      </w:r>
                      <w:r>
                        <w:rPr>
                          <w:rFonts w:ascii="Georgia" w:hAnsi="Georgia"/>
                          <w:color w:val="auto"/>
                          <w:sz w:val="16"/>
                          <w:szCs w:val="16"/>
                        </w:rPr>
                        <w:t>5</w:t>
                      </w:r>
                    </w:p>
                  </w:txbxContent>
                </v:textbox>
                <w10:wrap type="topAndBottom" anchorx="margin"/>
              </v:shape>
            </w:pict>
          </mc:Fallback>
        </mc:AlternateContent>
      </w:r>
      <w:r w:rsidR="004C5C38" w:rsidRPr="008E7373">
        <w:rPr>
          <w:rFonts w:ascii="Georgia" w:hAnsi="Georgia"/>
          <w:b/>
          <w:bCs/>
          <w:color w:val="002855"/>
          <w:sz w:val="20"/>
          <w:szCs w:val="20"/>
        </w:rPr>
        <w:t>5</w:t>
      </w:r>
      <w:r w:rsidR="00110026" w:rsidRPr="008E7373">
        <w:rPr>
          <w:rStyle w:val="FootnoteReference"/>
          <w:rFonts w:ascii="Georgia" w:hAnsi="Georgia"/>
          <w:b/>
          <w:bCs/>
          <w:color w:val="002855"/>
          <w:sz w:val="20"/>
          <w:szCs w:val="20"/>
        </w:rPr>
        <w:footnoteReference w:id="4"/>
      </w:r>
    </w:p>
    <w:p w14:paraId="048613B6" w14:textId="25CD5524" w:rsidR="00FE7D14" w:rsidRDefault="00FE7D14" w:rsidP="00DB1418">
      <w:pPr>
        <w:spacing w:line="360" w:lineRule="auto"/>
        <w:ind w:left="-288"/>
        <w:rPr>
          <w:rFonts w:ascii="Georgia" w:hAnsi="Georgia"/>
          <w:color w:val="EE0000"/>
          <w:sz w:val="20"/>
          <w:szCs w:val="20"/>
        </w:rPr>
      </w:pPr>
    </w:p>
    <w:p w14:paraId="7B12E399" w14:textId="77777777" w:rsidR="00766EC3" w:rsidRPr="00F73BA8" w:rsidRDefault="00766EC3" w:rsidP="00766EC3">
      <w:pPr>
        <w:spacing w:line="360" w:lineRule="auto"/>
        <w:ind w:left="-288"/>
        <w:rPr>
          <w:rFonts w:ascii="Georgia" w:hAnsi="Georgia"/>
          <w:sz w:val="20"/>
          <w:szCs w:val="20"/>
        </w:rPr>
      </w:pPr>
      <w:r w:rsidRPr="00F73BA8">
        <w:rPr>
          <w:rFonts w:ascii="Georgia" w:hAnsi="Georgia"/>
          <w:sz w:val="20"/>
          <w:szCs w:val="20"/>
        </w:rPr>
        <w:t>The sovereign credit and/or currency premium/(discount) adjustment is applied to individual countries based on their debt-to-GDP ratios and reflects our opinion of how interest parity relationships do not fully reflect the potential for currency debasement (a form of implicit default) or actual potential principal losses due to explicit default.</w:t>
      </w:r>
    </w:p>
    <w:p w14:paraId="1C0DCE5C" w14:textId="2E06A17D" w:rsidR="00FE7D14" w:rsidRPr="00F73BA8" w:rsidRDefault="00766EC3" w:rsidP="00766EC3">
      <w:pPr>
        <w:spacing w:line="360" w:lineRule="auto"/>
        <w:ind w:left="-288"/>
        <w:rPr>
          <w:rFonts w:ascii="Georgia" w:hAnsi="Georgia"/>
          <w:b/>
          <w:bCs/>
          <w:sz w:val="20"/>
          <w:szCs w:val="20"/>
        </w:rPr>
      </w:pPr>
      <w:r w:rsidRPr="00F73BA8">
        <w:rPr>
          <w:rFonts w:ascii="Georgia" w:hAnsi="Georgia"/>
          <w:b/>
          <w:bCs/>
          <w:sz w:val="20"/>
          <w:szCs w:val="20"/>
        </w:rPr>
        <w:t xml:space="preserve">10-Year Forecast of Annualized Geometric Return: </w:t>
      </w:r>
      <w:r w:rsidR="00F73BA8" w:rsidRPr="00F73BA8">
        <w:rPr>
          <w:rFonts w:ascii="Georgia" w:hAnsi="Georgia"/>
          <w:b/>
          <w:bCs/>
          <w:sz w:val="20"/>
          <w:szCs w:val="20"/>
        </w:rPr>
        <w:t>3.8</w:t>
      </w:r>
      <w:r w:rsidRPr="00F73BA8">
        <w:rPr>
          <w:rFonts w:ascii="Georgia" w:hAnsi="Georgia"/>
          <w:b/>
          <w:bCs/>
          <w:sz w:val="20"/>
          <w:szCs w:val="20"/>
        </w:rPr>
        <w:t>%</w:t>
      </w:r>
    </w:p>
    <w:p w14:paraId="50DA5CE9" w14:textId="77777777" w:rsidR="00FE7D14" w:rsidRDefault="00FE7D14" w:rsidP="00DB1418">
      <w:pPr>
        <w:spacing w:line="360" w:lineRule="auto"/>
        <w:ind w:left="-288"/>
        <w:rPr>
          <w:rFonts w:ascii="Georgia" w:hAnsi="Georgia"/>
          <w:color w:val="EE0000"/>
          <w:sz w:val="20"/>
          <w:szCs w:val="20"/>
        </w:rPr>
      </w:pPr>
    </w:p>
    <w:p w14:paraId="12B62DB2" w14:textId="27CB2C2F" w:rsidR="008B1F35" w:rsidRDefault="00EB4C86" w:rsidP="008B1F35">
      <w:pPr>
        <w:spacing w:line="360" w:lineRule="auto"/>
        <w:ind w:left="-288"/>
        <w:rPr>
          <w:rFonts w:ascii="Georgia" w:hAnsi="Georgia"/>
          <w:color w:val="EE0000"/>
          <w:sz w:val="20"/>
          <w:szCs w:val="20"/>
        </w:rPr>
      </w:pPr>
      <w:r w:rsidRPr="00EB4C86">
        <w:rPr>
          <w:rFonts w:ascii="Georgia" w:hAnsi="Georgia"/>
          <w:b/>
          <w:bCs/>
          <w:color w:val="002855"/>
          <w:sz w:val="20"/>
          <w:szCs w:val="20"/>
        </w:rPr>
        <w:t>EMERGING MARKETS (LOCAL CURRENCY) FIXED INCOME</w:t>
      </w:r>
      <w:r w:rsidR="00766EC3" w:rsidRPr="004E721E">
        <w:rPr>
          <w:rFonts w:ascii="Georgia" w:hAnsi="Georgia"/>
          <w:b/>
          <w:bCs/>
          <w:color w:val="002855"/>
          <w:sz w:val="20"/>
          <w:szCs w:val="20"/>
        </w:rPr>
        <w:t>:</w:t>
      </w:r>
      <w:r w:rsidR="00766EC3" w:rsidRPr="004E721E">
        <w:rPr>
          <w:rFonts w:ascii="Georgia" w:hAnsi="Georgia"/>
          <w:sz w:val="20"/>
          <w:szCs w:val="20"/>
        </w:rPr>
        <w:t xml:space="preserve"> </w:t>
      </w:r>
      <w:r w:rsidR="008B1F35" w:rsidRPr="003B7618">
        <w:rPr>
          <w:rFonts w:ascii="Georgia" w:hAnsi="Georgia"/>
          <w:sz w:val="20"/>
          <w:szCs w:val="20"/>
        </w:rPr>
        <w:t>As of October 31, 202</w:t>
      </w:r>
      <w:r w:rsidR="002852F6" w:rsidRPr="003B7618">
        <w:rPr>
          <w:rFonts w:ascii="Georgia" w:hAnsi="Georgia"/>
          <w:sz w:val="20"/>
          <w:szCs w:val="20"/>
        </w:rPr>
        <w:t>5</w:t>
      </w:r>
      <w:r w:rsidR="008B1F35" w:rsidRPr="003B7618">
        <w:rPr>
          <w:rFonts w:ascii="Georgia" w:hAnsi="Georgia"/>
          <w:sz w:val="20"/>
          <w:szCs w:val="20"/>
        </w:rPr>
        <w:t xml:space="preserve">, the JPMorgan GBI-EM Global Diversified Index had an average yield to maturity of </w:t>
      </w:r>
      <w:r w:rsidR="00F36E6A" w:rsidRPr="003B7618">
        <w:rPr>
          <w:rFonts w:ascii="Georgia" w:hAnsi="Georgia"/>
          <w:sz w:val="20"/>
          <w:szCs w:val="20"/>
        </w:rPr>
        <w:t>6.5</w:t>
      </w:r>
      <w:r w:rsidR="008B1F35" w:rsidRPr="003B7618">
        <w:rPr>
          <w:rFonts w:ascii="Georgia" w:hAnsi="Georgia"/>
          <w:sz w:val="20"/>
          <w:szCs w:val="20"/>
        </w:rPr>
        <w:t>% with an average maturity of 7.</w:t>
      </w:r>
      <w:r w:rsidR="00F36E6A" w:rsidRPr="003B7618">
        <w:rPr>
          <w:rFonts w:ascii="Georgia" w:hAnsi="Georgia"/>
          <w:sz w:val="20"/>
          <w:szCs w:val="20"/>
        </w:rPr>
        <w:t>7</w:t>
      </w:r>
      <w:r w:rsidR="008B1F35" w:rsidRPr="003B7618">
        <w:rPr>
          <w:rFonts w:ascii="Georgia" w:hAnsi="Georgia"/>
          <w:sz w:val="20"/>
          <w:szCs w:val="20"/>
        </w:rPr>
        <w:t xml:space="preserve"> years and a 5.</w:t>
      </w:r>
      <w:r w:rsidR="003B7618" w:rsidRPr="003B7618">
        <w:rPr>
          <w:rFonts w:ascii="Georgia" w:hAnsi="Georgia"/>
          <w:sz w:val="20"/>
          <w:szCs w:val="20"/>
        </w:rPr>
        <w:t>33</w:t>
      </w:r>
      <w:r w:rsidR="008B1F35" w:rsidRPr="003B7618">
        <w:rPr>
          <w:rFonts w:ascii="Georgia" w:hAnsi="Georgia"/>
          <w:sz w:val="20"/>
          <w:szCs w:val="20"/>
        </w:rPr>
        <w:t xml:space="preserve">-year average duration. Expected return is calculated by isolating the sovereign index yield, currency </w:t>
      </w:r>
      <w:r w:rsidR="008B1F35" w:rsidRPr="003B7618">
        <w:rPr>
          <w:rFonts w:ascii="Georgia" w:hAnsi="Georgia"/>
          <w:sz w:val="20"/>
          <w:szCs w:val="20"/>
        </w:rPr>
        <w:lastRenderedPageBreak/>
        <w:t xml:space="preserve">and/or credit components of the emerging markets bond market. The sovereign index yield component is calculated by taking the weighted average local bond market yield.  Interest rate parity is then used to calculate the expected currency impact embedded in the emerging markets bond markets (in U.S. dollar terms). The difference in like-maturity rates across borders explains the </w:t>
      </w:r>
      <w:r w:rsidR="008B1F35" w:rsidRPr="00F36E6A">
        <w:rPr>
          <w:rFonts w:ascii="Georgia" w:hAnsi="Georgia"/>
          <w:sz w:val="20"/>
          <w:szCs w:val="20"/>
        </w:rPr>
        <w:t>currency Spot-Futures exchange rate relationship. If not, one could borrow in one currency, lend in the other and lock in an arbitrage profit. In order to isolate each country’s implied credit spread, credit default swaps for each country are used to quantify credit risk above and beyond that of U.S. denominated bonds. This amount is then backed out of each country’s yield in order to be removed from the interest rate parity calculation since implied credit risk is captured in the local bond yield and therefore should not be accounted for in the interest rate parity calculation as well.</w:t>
      </w:r>
    </w:p>
    <w:p w14:paraId="690AD92E" w14:textId="07873D44" w:rsidR="001C5DCA" w:rsidRDefault="001C5DCA" w:rsidP="008B1F35">
      <w:pPr>
        <w:spacing w:line="360" w:lineRule="auto"/>
        <w:ind w:left="-288"/>
        <w:rPr>
          <w:rFonts w:ascii="Georgia" w:hAnsi="Georgia"/>
          <w:color w:val="EE0000"/>
          <w:sz w:val="20"/>
          <w:szCs w:val="20"/>
        </w:rPr>
      </w:pPr>
    </w:p>
    <w:p w14:paraId="1318C276" w14:textId="02044C52" w:rsidR="00655849" w:rsidRPr="008E7373" w:rsidRDefault="00F87F3B" w:rsidP="001C5DCA">
      <w:pPr>
        <w:spacing w:line="360" w:lineRule="auto"/>
        <w:ind w:left="-288"/>
        <w:jc w:val="center"/>
        <w:rPr>
          <w:rFonts w:ascii="Georgia" w:hAnsi="Georgia"/>
          <w:b/>
          <w:bCs/>
          <w:color w:val="002855"/>
          <w:sz w:val="20"/>
          <w:szCs w:val="20"/>
        </w:rPr>
      </w:pPr>
      <w:r w:rsidRPr="008E7373">
        <w:rPr>
          <w:noProof/>
        </w:rPr>
        <mc:AlternateContent>
          <mc:Choice Requires="wps">
            <w:drawing>
              <wp:anchor distT="0" distB="0" distL="114300" distR="114300" simplePos="0" relativeHeight="251643904" behindDoc="1" locked="0" layoutInCell="1" allowOverlap="1" wp14:anchorId="58D1D491" wp14:editId="79F0925E">
                <wp:simplePos x="0" y="0"/>
                <wp:positionH relativeFrom="margin">
                  <wp:align>center</wp:align>
                </wp:positionH>
                <wp:positionV relativeFrom="paragraph">
                  <wp:posOffset>3985895</wp:posOffset>
                </wp:positionV>
                <wp:extent cx="5875655" cy="190500"/>
                <wp:effectExtent l="0" t="0" r="0" b="0"/>
                <wp:wrapTight wrapText="bothSides">
                  <wp:wrapPolygon edited="0">
                    <wp:start x="0" y="0"/>
                    <wp:lineTo x="0" y="19440"/>
                    <wp:lineTo x="21500" y="19440"/>
                    <wp:lineTo x="21500" y="0"/>
                    <wp:lineTo x="0" y="0"/>
                  </wp:wrapPolygon>
                </wp:wrapTight>
                <wp:docPr id="53" name="Text Box 53"/>
                <wp:cNvGraphicFramePr/>
                <a:graphic xmlns:a="http://schemas.openxmlformats.org/drawingml/2006/main">
                  <a:graphicData uri="http://schemas.microsoft.com/office/word/2010/wordprocessingShape">
                    <wps:wsp>
                      <wps:cNvSpPr txBox="1"/>
                      <wps:spPr>
                        <a:xfrm>
                          <a:off x="0" y="0"/>
                          <a:ext cx="5875655" cy="190500"/>
                        </a:xfrm>
                        <a:prstGeom prst="rect">
                          <a:avLst/>
                        </a:prstGeom>
                        <a:solidFill>
                          <a:prstClr val="white"/>
                        </a:solidFill>
                        <a:ln>
                          <a:noFill/>
                        </a:ln>
                      </wps:spPr>
                      <wps:txbx>
                        <w:txbxContent>
                          <w:p w14:paraId="318DFC7B" w14:textId="287C90EB" w:rsidR="00F36E6A" w:rsidRPr="00F36E6A" w:rsidRDefault="00F36E6A" w:rsidP="00F36E6A">
                            <w:pPr>
                              <w:pStyle w:val="Caption"/>
                              <w:jc w:val="center"/>
                              <w:rPr>
                                <w:rFonts w:ascii="Georgia" w:eastAsia="Arial Unicode MS" w:hAnsi="Georgia"/>
                                <w:noProof/>
                                <w:color w:val="auto"/>
                                <w:sz w:val="22"/>
                                <w:szCs w:val="22"/>
                              </w:rPr>
                            </w:pPr>
                            <w:r w:rsidRPr="00F36E6A">
                              <w:rPr>
                                <w:rFonts w:ascii="Georgia" w:hAnsi="Georgia"/>
                                <w:color w:val="auto"/>
                                <w:sz w:val="16"/>
                                <w:szCs w:val="16"/>
                              </w:rPr>
                              <w:t>Source: FactSet, JPMorgan. As of October 31, 202</w:t>
                            </w:r>
                            <w:r>
                              <w:rPr>
                                <w:rFonts w:ascii="Georgia" w:hAnsi="Georgia"/>
                                <w:color w:val="auto"/>
                                <w:sz w:val="16"/>
                                <w:szCs w:val="16"/>
                              </w:rPr>
                              <w:t>5</w:t>
                            </w:r>
                            <w:r w:rsidRPr="00F36E6A">
                              <w:rPr>
                                <w:rFonts w:ascii="Georgia" w:hAnsi="Georgia"/>
                                <w:color w:val="auto"/>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1D491" id="Text Box 53" o:spid="_x0000_s1039" type="#_x0000_t202" style="position:absolute;left:0;text-align:left;margin-left:0;margin-top:313.85pt;width:462.65pt;height:1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" stroked="f">
                <v:textbox inset="0,0,0,0">
                  <w:txbxContent>
                    <w:p w14:paraId="318DFC7B" w14:textId="287C90EB" w:rsidR="00F36E6A" w:rsidRPr="00F36E6A" w:rsidRDefault="00F36E6A" w:rsidP="00F36E6A">
                      <w:pPr>
                        <w:pStyle w:val="Caption"/>
                        <w:jc w:val="center"/>
                        <w:rPr>
                          <w:rFonts w:ascii="Georgia" w:eastAsia="Arial Unicode MS" w:hAnsi="Georgia"/>
                          <w:noProof/>
                          <w:color w:val="auto"/>
                          <w:sz w:val="22"/>
                          <w:szCs w:val="22"/>
                        </w:rPr>
                      </w:pPr>
                      <w:r w:rsidRPr="00F36E6A">
                        <w:rPr>
                          <w:rFonts w:ascii="Georgia" w:hAnsi="Georgia"/>
                          <w:color w:val="auto"/>
                          <w:sz w:val="16"/>
                          <w:szCs w:val="16"/>
                        </w:rPr>
                        <w:t>Source: FactSet, JPMorgan. As of October 31, 202</w:t>
                      </w:r>
                      <w:r>
                        <w:rPr>
                          <w:rFonts w:ascii="Georgia" w:hAnsi="Georgia"/>
                          <w:color w:val="auto"/>
                          <w:sz w:val="16"/>
                          <w:szCs w:val="16"/>
                        </w:rPr>
                        <w:t>5</w:t>
                      </w:r>
                      <w:r w:rsidRPr="00F36E6A">
                        <w:rPr>
                          <w:rFonts w:ascii="Georgia" w:hAnsi="Georgia"/>
                          <w:color w:val="auto"/>
                          <w:sz w:val="16"/>
                          <w:szCs w:val="16"/>
                        </w:rPr>
                        <w:t>.</w:t>
                      </w:r>
                    </w:p>
                  </w:txbxContent>
                </v:textbox>
                <w10:wrap type="tight" anchorx="margin"/>
              </v:shape>
            </w:pict>
          </mc:Fallback>
        </mc:AlternateContent>
      </w:r>
      <w:r w:rsidRPr="00F87F3B">
        <w:rPr>
          <w:noProof/>
        </w:rPr>
        <w:drawing>
          <wp:anchor distT="0" distB="0" distL="114300" distR="114300" simplePos="0" relativeHeight="251672576" behindDoc="0" locked="0" layoutInCell="1" allowOverlap="1" wp14:anchorId="53002472" wp14:editId="1634C62B">
            <wp:simplePos x="0" y="0"/>
            <wp:positionH relativeFrom="page">
              <wp:align>center</wp:align>
            </wp:positionH>
            <wp:positionV relativeFrom="paragraph">
              <wp:posOffset>207010</wp:posOffset>
            </wp:positionV>
            <wp:extent cx="6229350" cy="3702685"/>
            <wp:effectExtent l="0" t="0" r="0" b="0"/>
            <wp:wrapTopAndBottom/>
            <wp:docPr id="1971819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29350" cy="3702685"/>
                    </a:xfrm>
                    <a:prstGeom prst="rect">
                      <a:avLst/>
                    </a:prstGeom>
                    <a:noFill/>
                    <a:ln>
                      <a:noFill/>
                    </a:ln>
                  </pic:spPr>
                </pic:pic>
              </a:graphicData>
            </a:graphic>
          </wp:anchor>
        </w:drawing>
      </w:r>
      <w:r w:rsidR="00655849" w:rsidRPr="008E7373">
        <w:rPr>
          <w:rFonts w:ascii="Georgia" w:hAnsi="Georgia"/>
          <w:b/>
          <w:bCs/>
          <w:color w:val="002855"/>
          <w:sz w:val="20"/>
          <w:szCs w:val="20"/>
        </w:rPr>
        <w:t>JPMorgan GBI-EM Emerging Markets Bond Data as of October 31, 2025</w:t>
      </w:r>
      <w:r w:rsidR="00655849" w:rsidRPr="008E7373">
        <w:rPr>
          <w:rStyle w:val="FootnoteReference"/>
          <w:rFonts w:ascii="Georgia" w:hAnsi="Georgia"/>
          <w:b/>
          <w:bCs/>
          <w:color w:val="002855"/>
          <w:sz w:val="20"/>
          <w:szCs w:val="20"/>
        </w:rPr>
        <w:footnoteReference w:id="5"/>
      </w:r>
    </w:p>
    <w:p w14:paraId="672FBC3A" w14:textId="433D68F9" w:rsidR="003348F1" w:rsidRPr="006A3939" w:rsidRDefault="003348F1" w:rsidP="003348F1">
      <w:pPr>
        <w:spacing w:line="360" w:lineRule="auto"/>
        <w:ind w:left="-288"/>
        <w:rPr>
          <w:rFonts w:ascii="Georgia" w:hAnsi="Georgia"/>
          <w:sz w:val="20"/>
          <w:szCs w:val="20"/>
        </w:rPr>
      </w:pPr>
      <w:r w:rsidRPr="006A3939">
        <w:rPr>
          <w:rFonts w:ascii="Georgia" w:hAnsi="Georgia"/>
          <w:sz w:val="20"/>
          <w:szCs w:val="20"/>
        </w:rPr>
        <w:t>Fixed Income Returns Decomposition Method: (YLD) +/- (IRP) +/- (CRE/CUR)</w:t>
      </w:r>
    </w:p>
    <w:p w14:paraId="2D54FDA6" w14:textId="08C3CE53" w:rsidR="003348F1" w:rsidRPr="006A3939" w:rsidRDefault="003348F1" w:rsidP="003348F1">
      <w:pPr>
        <w:spacing w:line="360" w:lineRule="auto"/>
        <w:ind w:left="-288"/>
        <w:rPr>
          <w:rFonts w:ascii="Georgia" w:hAnsi="Georgia"/>
          <w:sz w:val="20"/>
          <w:szCs w:val="20"/>
        </w:rPr>
      </w:pPr>
      <w:r w:rsidRPr="006A3939">
        <w:rPr>
          <w:rFonts w:ascii="Georgia" w:hAnsi="Georgia"/>
          <w:sz w:val="20"/>
          <w:szCs w:val="20"/>
        </w:rPr>
        <w:t>10-Year Forecast (2025 - 2034): (</w:t>
      </w:r>
      <w:r w:rsidR="006A3939" w:rsidRPr="006A3939">
        <w:rPr>
          <w:rFonts w:ascii="Georgia" w:hAnsi="Georgia"/>
          <w:sz w:val="20"/>
          <w:szCs w:val="20"/>
        </w:rPr>
        <w:t>6.49</w:t>
      </w:r>
      <w:r w:rsidRPr="006A3939">
        <w:rPr>
          <w:rFonts w:ascii="Georgia" w:hAnsi="Georgia"/>
          <w:sz w:val="20"/>
          <w:szCs w:val="20"/>
        </w:rPr>
        <w:t>%) + (-2.</w:t>
      </w:r>
      <w:r w:rsidR="006A3939" w:rsidRPr="006A3939">
        <w:rPr>
          <w:rFonts w:ascii="Georgia" w:hAnsi="Georgia"/>
          <w:sz w:val="20"/>
          <w:szCs w:val="20"/>
        </w:rPr>
        <w:t>18</w:t>
      </w:r>
      <w:r w:rsidRPr="006A3939">
        <w:rPr>
          <w:rFonts w:ascii="Georgia" w:hAnsi="Georgia"/>
          <w:sz w:val="20"/>
          <w:szCs w:val="20"/>
        </w:rPr>
        <w:t>%) + (0.2</w:t>
      </w:r>
      <w:r w:rsidR="006A3939" w:rsidRPr="006A3939">
        <w:rPr>
          <w:rFonts w:ascii="Georgia" w:hAnsi="Georgia"/>
          <w:sz w:val="20"/>
          <w:szCs w:val="20"/>
        </w:rPr>
        <w:t>3</w:t>
      </w:r>
      <w:r w:rsidRPr="006A3939">
        <w:rPr>
          <w:rFonts w:ascii="Georgia" w:hAnsi="Georgia"/>
          <w:sz w:val="20"/>
          <w:szCs w:val="20"/>
        </w:rPr>
        <w:t>%) = 4.</w:t>
      </w:r>
      <w:r w:rsidR="006A3939" w:rsidRPr="006A3939">
        <w:rPr>
          <w:rFonts w:ascii="Georgia" w:hAnsi="Georgia"/>
          <w:sz w:val="20"/>
          <w:szCs w:val="20"/>
        </w:rPr>
        <w:t>54</w:t>
      </w:r>
      <w:r w:rsidRPr="006A3939">
        <w:rPr>
          <w:rFonts w:ascii="Georgia" w:hAnsi="Georgia"/>
          <w:sz w:val="20"/>
          <w:szCs w:val="20"/>
        </w:rPr>
        <w:t>%</w:t>
      </w:r>
    </w:p>
    <w:p w14:paraId="30939775" w14:textId="77777777" w:rsidR="003348F1" w:rsidRPr="006A3939" w:rsidRDefault="003348F1" w:rsidP="003348F1">
      <w:pPr>
        <w:spacing w:line="360" w:lineRule="auto"/>
        <w:ind w:left="-288"/>
        <w:rPr>
          <w:rFonts w:ascii="Georgia" w:hAnsi="Georgia"/>
          <w:sz w:val="20"/>
          <w:szCs w:val="20"/>
        </w:rPr>
      </w:pPr>
      <w:r w:rsidRPr="006A3939">
        <w:rPr>
          <w:rFonts w:ascii="Georgia" w:hAnsi="Georgia"/>
          <w:sz w:val="20"/>
          <w:szCs w:val="20"/>
        </w:rPr>
        <w:t>•</w:t>
      </w:r>
      <w:r w:rsidRPr="006A3939">
        <w:rPr>
          <w:rFonts w:ascii="Georgia" w:hAnsi="Georgia"/>
          <w:sz w:val="20"/>
          <w:szCs w:val="20"/>
        </w:rPr>
        <w:tab/>
        <w:t>YLD = Index Yield</w:t>
      </w:r>
    </w:p>
    <w:p w14:paraId="2926284A" w14:textId="77777777" w:rsidR="003348F1" w:rsidRPr="006A3939" w:rsidRDefault="003348F1" w:rsidP="003348F1">
      <w:pPr>
        <w:spacing w:line="360" w:lineRule="auto"/>
        <w:ind w:left="-288"/>
        <w:rPr>
          <w:rFonts w:ascii="Georgia" w:hAnsi="Georgia"/>
          <w:sz w:val="20"/>
          <w:szCs w:val="20"/>
        </w:rPr>
      </w:pPr>
      <w:r w:rsidRPr="006A3939">
        <w:rPr>
          <w:rFonts w:ascii="Georgia" w:hAnsi="Georgia"/>
          <w:sz w:val="20"/>
          <w:szCs w:val="20"/>
        </w:rPr>
        <w:t>•</w:t>
      </w:r>
      <w:r w:rsidRPr="006A3939">
        <w:rPr>
          <w:rFonts w:ascii="Georgia" w:hAnsi="Georgia"/>
          <w:sz w:val="20"/>
          <w:szCs w:val="20"/>
        </w:rPr>
        <w:tab/>
        <w:t>IRP = Interest Rate Parity Currency Adjustment</w:t>
      </w:r>
    </w:p>
    <w:p w14:paraId="37E46EFB" w14:textId="77777777" w:rsidR="003348F1" w:rsidRPr="006A3939" w:rsidRDefault="003348F1" w:rsidP="003348F1">
      <w:pPr>
        <w:spacing w:line="360" w:lineRule="auto"/>
        <w:ind w:left="-288"/>
        <w:rPr>
          <w:rFonts w:ascii="Georgia" w:hAnsi="Georgia"/>
          <w:sz w:val="20"/>
          <w:szCs w:val="20"/>
        </w:rPr>
      </w:pPr>
      <w:r w:rsidRPr="006A3939">
        <w:rPr>
          <w:rFonts w:ascii="Georgia" w:hAnsi="Georgia"/>
          <w:sz w:val="20"/>
          <w:szCs w:val="20"/>
        </w:rPr>
        <w:t>•</w:t>
      </w:r>
      <w:r w:rsidRPr="006A3939">
        <w:rPr>
          <w:rFonts w:ascii="Georgia" w:hAnsi="Georgia"/>
          <w:sz w:val="20"/>
          <w:szCs w:val="20"/>
        </w:rPr>
        <w:tab/>
        <w:t>CRE/CUR = Sovereign Credit/Currency Adjustment</w:t>
      </w:r>
    </w:p>
    <w:p w14:paraId="518273B1" w14:textId="2ED2A3F9" w:rsidR="003348F1" w:rsidRPr="006A3939" w:rsidRDefault="003348F1" w:rsidP="003348F1">
      <w:pPr>
        <w:spacing w:line="360" w:lineRule="auto"/>
        <w:ind w:left="-288"/>
        <w:rPr>
          <w:rFonts w:ascii="Georgia" w:hAnsi="Georgia"/>
          <w:sz w:val="20"/>
          <w:szCs w:val="20"/>
        </w:rPr>
      </w:pPr>
      <w:r w:rsidRPr="006A3939">
        <w:rPr>
          <w:rFonts w:ascii="Georgia" w:hAnsi="Georgia"/>
          <w:sz w:val="20"/>
          <w:szCs w:val="20"/>
        </w:rPr>
        <w:lastRenderedPageBreak/>
        <w:t>The sovereign credit and/or currency premium / (discount) adjustment is applied to individual countries based on their debt-to-GDP ratios and reflects our bias for how interest parity relationships do not fully reflect the potential for currency debasement (a form of implicit default) or actual potential principal losses due to explicit default.</w:t>
      </w:r>
    </w:p>
    <w:p w14:paraId="2CD24EB9" w14:textId="26F0C1AA" w:rsidR="008B1F35" w:rsidRPr="006A3939" w:rsidRDefault="003348F1" w:rsidP="003348F1">
      <w:pPr>
        <w:spacing w:line="360" w:lineRule="auto"/>
        <w:ind w:left="-288"/>
        <w:rPr>
          <w:rFonts w:ascii="Georgia" w:hAnsi="Georgia"/>
          <w:b/>
          <w:bCs/>
          <w:sz w:val="20"/>
          <w:szCs w:val="20"/>
        </w:rPr>
      </w:pPr>
      <w:r w:rsidRPr="006A3939">
        <w:rPr>
          <w:rFonts w:ascii="Georgia" w:hAnsi="Georgia"/>
          <w:b/>
          <w:bCs/>
          <w:sz w:val="20"/>
          <w:szCs w:val="20"/>
        </w:rPr>
        <w:t xml:space="preserve">10-Year Forecast of Annualized Geometric Return: </w:t>
      </w:r>
      <w:r w:rsidR="006A3939" w:rsidRPr="006A3939">
        <w:rPr>
          <w:rFonts w:ascii="Georgia" w:hAnsi="Georgia"/>
          <w:b/>
          <w:bCs/>
          <w:sz w:val="20"/>
          <w:szCs w:val="20"/>
        </w:rPr>
        <w:t>4.5</w:t>
      </w:r>
      <w:r w:rsidRPr="006A3939">
        <w:rPr>
          <w:rFonts w:ascii="Georgia" w:hAnsi="Georgia"/>
          <w:b/>
          <w:bCs/>
          <w:sz w:val="20"/>
          <w:szCs w:val="20"/>
        </w:rPr>
        <w:t>%</w:t>
      </w:r>
    </w:p>
    <w:p w14:paraId="258CC072" w14:textId="7BB5E5DB" w:rsidR="008B1F35" w:rsidRDefault="008B1F35" w:rsidP="008B1F35">
      <w:pPr>
        <w:spacing w:line="360" w:lineRule="auto"/>
        <w:ind w:left="-288"/>
        <w:rPr>
          <w:rFonts w:ascii="Georgia" w:hAnsi="Georgia"/>
          <w:color w:val="EE0000"/>
          <w:sz w:val="20"/>
          <w:szCs w:val="20"/>
        </w:rPr>
      </w:pPr>
    </w:p>
    <w:p w14:paraId="4FD4D4E3" w14:textId="7581BF37" w:rsidR="00133B28" w:rsidRPr="00AF2A5B" w:rsidRDefault="00261CD8" w:rsidP="00133B28">
      <w:pPr>
        <w:spacing w:line="360" w:lineRule="auto"/>
        <w:ind w:left="-288"/>
        <w:rPr>
          <w:rFonts w:ascii="Georgia" w:hAnsi="Georgia"/>
          <w:sz w:val="20"/>
          <w:szCs w:val="20"/>
        </w:rPr>
      </w:pPr>
      <w:r>
        <w:rPr>
          <w:rFonts w:ascii="Georgia" w:hAnsi="Georgia"/>
          <w:b/>
          <w:bCs/>
          <w:color w:val="002855"/>
          <w:sz w:val="20"/>
          <w:szCs w:val="20"/>
        </w:rPr>
        <w:t>GLOBAL</w:t>
      </w:r>
      <w:r w:rsidRPr="00EB4C86">
        <w:rPr>
          <w:rFonts w:ascii="Georgia" w:hAnsi="Georgia"/>
          <w:b/>
          <w:bCs/>
          <w:color w:val="002855"/>
          <w:sz w:val="20"/>
          <w:szCs w:val="20"/>
        </w:rPr>
        <w:t xml:space="preserve"> FIXED INCOME</w:t>
      </w:r>
      <w:r w:rsidRPr="004E721E">
        <w:rPr>
          <w:rFonts w:ascii="Georgia" w:hAnsi="Georgia"/>
          <w:b/>
          <w:bCs/>
          <w:color w:val="002855"/>
          <w:sz w:val="20"/>
          <w:szCs w:val="20"/>
        </w:rPr>
        <w:t>:</w:t>
      </w:r>
      <w:r w:rsidRPr="004E721E">
        <w:rPr>
          <w:rFonts w:ascii="Georgia" w:hAnsi="Georgia"/>
          <w:sz w:val="20"/>
          <w:szCs w:val="20"/>
        </w:rPr>
        <w:t xml:space="preserve"> </w:t>
      </w:r>
      <w:r w:rsidR="00133B28" w:rsidRPr="00AF2A5B">
        <w:rPr>
          <w:rFonts w:ascii="Georgia" w:hAnsi="Georgia"/>
          <w:sz w:val="20"/>
          <w:szCs w:val="20"/>
        </w:rPr>
        <w:t>The asset class is calculated using blended return assumptions for U.S. investment-grade fixed income (40%), foreign investment grade developed sovereign bonds (40%) and emerging market debt (20%). Our expected geometric return forecast is 4.</w:t>
      </w:r>
      <w:r w:rsidR="00AF2A5B" w:rsidRPr="00AF2A5B">
        <w:rPr>
          <w:rFonts w:ascii="Georgia" w:hAnsi="Georgia"/>
          <w:sz w:val="20"/>
          <w:szCs w:val="20"/>
        </w:rPr>
        <w:t>51</w:t>
      </w:r>
      <w:r w:rsidR="00133B28" w:rsidRPr="00AF2A5B">
        <w:rPr>
          <w:rFonts w:ascii="Georgia" w:hAnsi="Georgia"/>
          <w:sz w:val="20"/>
          <w:szCs w:val="20"/>
        </w:rPr>
        <w:t>%.</w:t>
      </w:r>
    </w:p>
    <w:p w14:paraId="0AC76CE5" w14:textId="23D65CCC" w:rsidR="008B1F35" w:rsidRPr="00AF2A5B" w:rsidRDefault="00133B28" w:rsidP="00133B28">
      <w:pPr>
        <w:spacing w:line="360" w:lineRule="auto"/>
        <w:ind w:left="-288"/>
        <w:rPr>
          <w:rFonts w:ascii="Georgia" w:hAnsi="Georgia"/>
          <w:b/>
          <w:bCs/>
          <w:sz w:val="20"/>
          <w:szCs w:val="20"/>
        </w:rPr>
      </w:pPr>
      <w:r w:rsidRPr="00AF2A5B">
        <w:rPr>
          <w:rFonts w:ascii="Georgia" w:hAnsi="Georgia"/>
          <w:b/>
          <w:bCs/>
          <w:sz w:val="20"/>
          <w:szCs w:val="20"/>
        </w:rPr>
        <w:t>10-Year Forecast of Annualized Geometric Return: 4.</w:t>
      </w:r>
      <w:r w:rsidR="00AF2A5B" w:rsidRPr="00AF2A5B">
        <w:rPr>
          <w:rFonts w:ascii="Georgia" w:hAnsi="Georgia"/>
          <w:b/>
          <w:bCs/>
          <w:sz w:val="20"/>
          <w:szCs w:val="20"/>
        </w:rPr>
        <w:t>5</w:t>
      </w:r>
      <w:r w:rsidRPr="00AF2A5B">
        <w:rPr>
          <w:rFonts w:ascii="Georgia" w:hAnsi="Georgia"/>
          <w:b/>
          <w:bCs/>
          <w:sz w:val="20"/>
          <w:szCs w:val="20"/>
        </w:rPr>
        <w:t>%</w:t>
      </w:r>
    </w:p>
    <w:p w14:paraId="11A82F1F" w14:textId="3EEE45D5" w:rsidR="00261CD8" w:rsidRDefault="00261CD8" w:rsidP="008B1F35">
      <w:pPr>
        <w:spacing w:line="360" w:lineRule="auto"/>
        <w:ind w:left="-288"/>
        <w:rPr>
          <w:rFonts w:ascii="Georgia" w:hAnsi="Georgia"/>
          <w:color w:val="EE0000"/>
          <w:sz w:val="20"/>
          <w:szCs w:val="20"/>
        </w:rPr>
      </w:pPr>
    </w:p>
    <w:p w14:paraId="65ABFADB" w14:textId="467000B6" w:rsidR="00370131" w:rsidRPr="002A482B" w:rsidRDefault="003B0E60" w:rsidP="00370131">
      <w:pPr>
        <w:spacing w:line="360" w:lineRule="auto"/>
        <w:ind w:left="-288"/>
        <w:rPr>
          <w:rFonts w:ascii="Georgia" w:hAnsi="Georgia"/>
          <w:sz w:val="20"/>
          <w:szCs w:val="20"/>
        </w:rPr>
      </w:pPr>
      <w:r w:rsidRPr="003B0E60">
        <w:rPr>
          <w:rFonts w:ascii="Georgia" w:hAnsi="Georgia"/>
          <w:b/>
          <w:bCs/>
          <w:color w:val="002855"/>
          <w:sz w:val="20"/>
          <w:szCs w:val="20"/>
        </w:rPr>
        <w:t>U.S. LARGE CAP EQUITIES</w:t>
      </w:r>
      <w:r w:rsidR="00261CD8" w:rsidRPr="004E721E">
        <w:rPr>
          <w:rFonts w:ascii="Georgia" w:hAnsi="Georgia"/>
          <w:b/>
          <w:bCs/>
          <w:color w:val="002855"/>
          <w:sz w:val="20"/>
          <w:szCs w:val="20"/>
        </w:rPr>
        <w:t>:</w:t>
      </w:r>
      <w:r w:rsidR="00261CD8" w:rsidRPr="004E721E">
        <w:rPr>
          <w:rFonts w:ascii="Georgia" w:hAnsi="Georgia"/>
          <w:sz w:val="20"/>
          <w:szCs w:val="20"/>
        </w:rPr>
        <w:t xml:space="preserve"> </w:t>
      </w:r>
      <w:r w:rsidR="00370131" w:rsidRPr="002A482B">
        <w:rPr>
          <w:rFonts w:ascii="Georgia" w:hAnsi="Georgia"/>
          <w:sz w:val="20"/>
          <w:szCs w:val="20"/>
        </w:rPr>
        <w:t xml:space="preserve">The expected geometric return forecast for U.S. Large Cap Equities (S&amp;P 500) is derived by applying the Cyclically-Adjusted Earnings Yield Method where return is a function of the historical </w:t>
      </w:r>
    </w:p>
    <w:p w14:paraId="11C38B0A" w14:textId="5790B2FE" w:rsidR="00370131" w:rsidRPr="002A482B" w:rsidRDefault="00370131" w:rsidP="00370131">
      <w:pPr>
        <w:spacing w:line="360" w:lineRule="auto"/>
        <w:ind w:left="-288"/>
        <w:rPr>
          <w:rFonts w:ascii="Georgia" w:hAnsi="Georgia"/>
          <w:sz w:val="20"/>
          <w:szCs w:val="20"/>
        </w:rPr>
      </w:pPr>
      <w:r w:rsidRPr="002A482B">
        <w:rPr>
          <w:rFonts w:ascii="Georgia" w:hAnsi="Georgia"/>
          <w:sz w:val="20"/>
          <w:szCs w:val="20"/>
        </w:rPr>
        <w:t>10-year average real earnings, current price and our 10-year inflation assumption (CPI).</w:t>
      </w:r>
      <w:r w:rsidRPr="002A482B">
        <w:rPr>
          <w:rFonts w:ascii="Georgia" w:hAnsi="Georgia"/>
          <w:sz w:val="20"/>
          <w:szCs w:val="20"/>
        </w:rPr>
        <w:tab/>
      </w:r>
    </w:p>
    <w:p w14:paraId="15B9AC31" w14:textId="63C21FE7" w:rsidR="00370131" w:rsidRPr="002A482B" w:rsidRDefault="00370131" w:rsidP="00370131">
      <w:pPr>
        <w:spacing w:line="360" w:lineRule="auto"/>
        <w:ind w:left="-288"/>
        <w:rPr>
          <w:rFonts w:ascii="Georgia" w:hAnsi="Georgia"/>
          <w:sz w:val="20"/>
          <w:szCs w:val="20"/>
        </w:rPr>
      </w:pPr>
    </w:p>
    <w:p w14:paraId="0F0F9810" w14:textId="3DCEB3CC" w:rsidR="00370131" w:rsidRPr="00E86E72" w:rsidRDefault="00370131" w:rsidP="00370131">
      <w:pPr>
        <w:spacing w:line="360" w:lineRule="auto"/>
        <w:ind w:left="-288"/>
        <w:rPr>
          <w:rFonts w:ascii="Georgia" w:hAnsi="Georgia"/>
          <w:sz w:val="20"/>
          <w:szCs w:val="20"/>
        </w:rPr>
      </w:pPr>
      <w:r w:rsidRPr="00E86E72">
        <w:rPr>
          <w:rFonts w:ascii="Georgia" w:hAnsi="Georgia"/>
          <w:sz w:val="20"/>
          <w:szCs w:val="20"/>
        </w:rPr>
        <w:t>Cyclically-Adjusted Earnings Yield Method: {[1 + (EARNINGS/PRICE)] * (1 + CPI)} - 1</w:t>
      </w:r>
    </w:p>
    <w:p w14:paraId="6449637E" w14:textId="6F273E24" w:rsidR="00370131" w:rsidRPr="00E86E72" w:rsidRDefault="00370131" w:rsidP="00370131">
      <w:pPr>
        <w:spacing w:line="360" w:lineRule="auto"/>
        <w:ind w:left="-288"/>
        <w:rPr>
          <w:rFonts w:ascii="Georgia" w:hAnsi="Georgia"/>
          <w:sz w:val="20"/>
          <w:szCs w:val="20"/>
        </w:rPr>
      </w:pPr>
      <w:r w:rsidRPr="00E86E72">
        <w:rPr>
          <w:rFonts w:ascii="Georgia" w:hAnsi="Georgia"/>
          <w:sz w:val="20"/>
          <w:szCs w:val="20"/>
        </w:rPr>
        <w:t>10-Year Forecast (202</w:t>
      </w:r>
      <w:r w:rsidR="002A482B" w:rsidRPr="00E86E72">
        <w:rPr>
          <w:rFonts w:ascii="Georgia" w:hAnsi="Georgia"/>
          <w:sz w:val="20"/>
          <w:szCs w:val="20"/>
        </w:rPr>
        <w:t>6</w:t>
      </w:r>
      <w:r w:rsidRPr="00E86E72">
        <w:rPr>
          <w:rFonts w:ascii="Georgia" w:hAnsi="Georgia"/>
          <w:sz w:val="20"/>
          <w:szCs w:val="20"/>
        </w:rPr>
        <w:t xml:space="preserve"> - 203</w:t>
      </w:r>
      <w:r w:rsidR="002A482B" w:rsidRPr="00E86E72">
        <w:rPr>
          <w:rFonts w:ascii="Georgia" w:hAnsi="Georgia"/>
          <w:sz w:val="20"/>
          <w:szCs w:val="20"/>
        </w:rPr>
        <w:t>5</w:t>
      </w:r>
      <w:r w:rsidRPr="00E86E72">
        <w:rPr>
          <w:rFonts w:ascii="Georgia" w:hAnsi="Georgia"/>
          <w:sz w:val="20"/>
          <w:szCs w:val="20"/>
        </w:rPr>
        <w:t>): {[1 + (</w:t>
      </w:r>
      <w:r w:rsidR="00E86E72" w:rsidRPr="00E86E72">
        <w:rPr>
          <w:rFonts w:ascii="Georgia" w:hAnsi="Georgia"/>
          <w:sz w:val="20"/>
          <w:szCs w:val="20"/>
        </w:rPr>
        <w:t>188.16</w:t>
      </w:r>
      <w:r w:rsidRPr="00E86E72">
        <w:rPr>
          <w:rFonts w:ascii="Georgia" w:hAnsi="Georgia"/>
          <w:sz w:val="20"/>
          <w:szCs w:val="20"/>
        </w:rPr>
        <w:t xml:space="preserve"> / </w:t>
      </w:r>
      <w:r w:rsidR="00253D47" w:rsidRPr="00E86E72">
        <w:rPr>
          <w:rFonts w:ascii="Georgia" w:hAnsi="Georgia"/>
          <w:sz w:val="20"/>
          <w:szCs w:val="20"/>
        </w:rPr>
        <w:t>6,840.20</w:t>
      </w:r>
      <w:r w:rsidRPr="00E86E72">
        <w:rPr>
          <w:rFonts w:ascii="Georgia" w:hAnsi="Georgia"/>
          <w:sz w:val="20"/>
          <w:szCs w:val="20"/>
        </w:rPr>
        <w:t>)] * (1 + 2.3</w:t>
      </w:r>
      <w:r w:rsidR="00884703" w:rsidRPr="00E86E72">
        <w:rPr>
          <w:rFonts w:ascii="Georgia" w:hAnsi="Georgia"/>
          <w:sz w:val="20"/>
          <w:szCs w:val="20"/>
        </w:rPr>
        <w:t>0</w:t>
      </w:r>
      <w:r w:rsidRPr="00E86E72">
        <w:rPr>
          <w:rFonts w:ascii="Georgia" w:hAnsi="Georgia"/>
          <w:sz w:val="20"/>
          <w:szCs w:val="20"/>
        </w:rPr>
        <w:t>%)} - 1</w:t>
      </w:r>
    </w:p>
    <w:p w14:paraId="6E7AD620" w14:textId="31BD1543" w:rsidR="00370131" w:rsidRPr="00370131" w:rsidRDefault="00370131" w:rsidP="00370131">
      <w:pPr>
        <w:spacing w:line="360" w:lineRule="auto"/>
        <w:ind w:left="-288"/>
        <w:rPr>
          <w:rFonts w:ascii="Georgia" w:hAnsi="Georgia"/>
          <w:color w:val="EE0000"/>
          <w:sz w:val="20"/>
          <w:szCs w:val="20"/>
        </w:rPr>
      </w:pPr>
      <w:r w:rsidRPr="00471807">
        <w:rPr>
          <w:rFonts w:ascii="Georgia" w:hAnsi="Georgia"/>
          <w:sz w:val="20"/>
          <w:szCs w:val="20"/>
        </w:rPr>
        <w:t>10-Year Forecast (202</w:t>
      </w:r>
      <w:r w:rsidR="002A482B" w:rsidRPr="00471807">
        <w:rPr>
          <w:rFonts w:ascii="Georgia" w:hAnsi="Georgia"/>
          <w:sz w:val="20"/>
          <w:szCs w:val="20"/>
        </w:rPr>
        <w:t>6</w:t>
      </w:r>
      <w:r w:rsidRPr="00471807">
        <w:rPr>
          <w:rFonts w:ascii="Georgia" w:hAnsi="Georgia"/>
          <w:sz w:val="20"/>
          <w:szCs w:val="20"/>
        </w:rPr>
        <w:t xml:space="preserve"> - 203</w:t>
      </w:r>
      <w:r w:rsidR="002A482B" w:rsidRPr="00471807">
        <w:rPr>
          <w:rFonts w:ascii="Georgia" w:hAnsi="Georgia"/>
          <w:sz w:val="20"/>
          <w:szCs w:val="20"/>
        </w:rPr>
        <w:t>5</w:t>
      </w:r>
      <w:r w:rsidRPr="00471807">
        <w:rPr>
          <w:rFonts w:ascii="Georgia" w:hAnsi="Georgia"/>
          <w:sz w:val="20"/>
          <w:szCs w:val="20"/>
        </w:rPr>
        <w:t xml:space="preserve">): {(1 + </w:t>
      </w:r>
      <w:r w:rsidR="00471807" w:rsidRPr="00471807">
        <w:rPr>
          <w:rFonts w:ascii="Georgia" w:hAnsi="Georgia"/>
          <w:sz w:val="20"/>
          <w:szCs w:val="20"/>
        </w:rPr>
        <w:t>2.</w:t>
      </w:r>
      <w:r w:rsidR="00471807" w:rsidRPr="005D7F9E">
        <w:rPr>
          <w:rFonts w:ascii="Georgia" w:hAnsi="Georgia"/>
          <w:sz w:val="20"/>
          <w:szCs w:val="20"/>
        </w:rPr>
        <w:t>75</w:t>
      </w:r>
      <w:r w:rsidRPr="005D7F9E">
        <w:rPr>
          <w:rFonts w:ascii="Georgia" w:hAnsi="Georgia"/>
          <w:sz w:val="20"/>
          <w:szCs w:val="20"/>
        </w:rPr>
        <w:t>%) * (1 + 2.3</w:t>
      </w:r>
      <w:r w:rsidR="00471807" w:rsidRPr="005D7F9E">
        <w:rPr>
          <w:rFonts w:ascii="Georgia" w:hAnsi="Georgia"/>
          <w:sz w:val="20"/>
          <w:szCs w:val="20"/>
        </w:rPr>
        <w:t>0</w:t>
      </w:r>
      <w:r w:rsidRPr="005D7F9E">
        <w:rPr>
          <w:rFonts w:ascii="Georgia" w:hAnsi="Georgia"/>
          <w:sz w:val="20"/>
          <w:szCs w:val="20"/>
        </w:rPr>
        <w:t>%)} - 1 = 5.</w:t>
      </w:r>
      <w:r w:rsidR="005D7F9E" w:rsidRPr="005D7F9E">
        <w:rPr>
          <w:rFonts w:ascii="Georgia" w:hAnsi="Georgia"/>
          <w:sz w:val="20"/>
          <w:szCs w:val="20"/>
        </w:rPr>
        <w:t>11</w:t>
      </w:r>
      <w:r w:rsidRPr="005D7F9E">
        <w:rPr>
          <w:rFonts w:ascii="Georgia" w:hAnsi="Georgia"/>
          <w:sz w:val="20"/>
          <w:szCs w:val="20"/>
        </w:rPr>
        <w:t>%</w:t>
      </w:r>
    </w:p>
    <w:p w14:paraId="79758567" w14:textId="2E248892" w:rsidR="00370131" w:rsidRPr="00884703" w:rsidRDefault="00370131" w:rsidP="00370131">
      <w:pPr>
        <w:spacing w:line="360" w:lineRule="auto"/>
        <w:ind w:left="-288"/>
        <w:rPr>
          <w:rFonts w:ascii="Georgia" w:hAnsi="Georgia"/>
          <w:sz w:val="20"/>
          <w:szCs w:val="20"/>
        </w:rPr>
      </w:pPr>
    </w:p>
    <w:p w14:paraId="2C8BC352" w14:textId="24E79C31" w:rsidR="00370131" w:rsidRPr="00884703" w:rsidRDefault="00370131" w:rsidP="00370131">
      <w:pPr>
        <w:spacing w:line="360" w:lineRule="auto"/>
        <w:ind w:left="-288"/>
        <w:rPr>
          <w:rFonts w:ascii="Georgia" w:hAnsi="Georgia"/>
          <w:sz w:val="20"/>
          <w:szCs w:val="20"/>
        </w:rPr>
      </w:pPr>
      <w:r w:rsidRPr="00884703">
        <w:rPr>
          <w:rFonts w:ascii="Georgia" w:hAnsi="Georgia"/>
          <w:sz w:val="20"/>
          <w:szCs w:val="20"/>
        </w:rPr>
        <w:t>•</w:t>
      </w:r>
      <w:r w:rsidRPr="00884703">
        <w:rPr>
          <w:rFonts w:ascii="Georgia" w:hAnsi="Georgia"/>
          <w:sz w:val="20"/>
          <w:szCs w:val="20"/>
        </w:rPr>
        <w:tab/>
        <w:t>EARNINGS = Historical 10-year average real earnings of the S&amp;P 500 Index as of October 31, 202</w:t>
      </w:r>
      <w:r w:rsidR="00884703" w:rsidRPr="00884703">
        <w:rPr>
          <w:rFonts w:ascii="Georgia" w:hAnsi="Georgia"/>
          <w:sz w:val="20"/>
          <w:szCs w:val="20"/>
        </w:rPr>
        <w:t>5</w:t>
      </w:r>
    </w:p>
    <w:p w14:paraId="08D0E0DB" w14:textId="6F7DE698" w:rsidR="00370131" w:rsidRPr="00884703" w:rsidRDefault="00370131" w:rsidP="00370131">
      <w:pPr>
        <w:spacing w:line="360" w:lineRule="auto"/>
        <w:ind w:left="-288"/>
        <w:rPr>
          <w:rFonts w:ascii="Georgia" w:hAnsi="Georgia"/>
          <w:sz w:val="20"/>
          <w:szCs w:val="20"/>
        </w:rPr>
      </w:pPr>
      <w:r w:rsidRPr="00884703">
        <w:rPr>
          <w:rFonts w:ascii="Georgia" w:hAnsi="Georgia"/>
          <w:sz w:val="20"/>
          <w:szCs w:val="20"/>
        </w:rPr>
        <w:t>•</w:t>
      </w:r>
      <w:r w:rsidRPr="00884703">
        <w:rPr>
          <w:rFonts w:ascii="Georgia" w:hAnsi="Georgia"/>
          <w:sz w:val="20"/>
          <w:szCs w:val="20"/>
        </w:rPr>
        <w:tab/>
        <w:t>PRICE = Current S&amp;P 500 Index real price as of October 31, 202</w:t>
      </w:r>
      <w:r w:rsidR="00884703" w:rsidRPr="00884703">
        <w:rPr>
          <w:rFonts w:ascii="Georgia" w:hAnsi="Georgia"/>
          <w:sz w:val="20"/>
          <w:szCs w:val="20"/>
        </w:rPr>
        <w:t>5</w:t>
      </w:r>
    </w:p>
    <w:p w14:paraId="4187B376" w14:textId="1D0AF108" w:rsidR="00370131" w:rsidRPr="00884703" w:rsidRDefault="000535F7" w:rsidP="00370131">
      <w:pPr>
        <w:spacing w:line="360" w:lineRule="auto"/>
        <w:ind w:left="-288"/>
        <w:rPr>
          <w:rFonts w:ascii="Georgia" w:hAnsi="Georgia"/>
          <w:sz w:val="20"/>
          <w:szCs w:val="20"/>
        </w:rPr>
      </w:pPr>
      <w:r>
        <w:rPr>
          <w:noProof/>
        </w:rPr>
        <w:drawing>
          <wp:anchor distT="0" distB="0" distL="114300" distR="114300" simplePos="0" relativeHeight="251656192" behindDoc="0" locked="0" layoutInCell="1" allowOverlap="1" wp14:anchorId="1A57B235" wp14:editId="47CD8DAF">
            <wp:simplePos x="0" y="0"/>
            <wp:positionH relativeFrom="page">
              <wp:align>center</wp:align>
            </wp:positionH>
            <wp:positionV relativeFrom="paragraph">
              <wp:posOffset>223548</wp:posOffset>
            </wp:positionV>
            <wp:extent cx="6229350" cy="2543810"/>
            <wp:effectExtent l="0" t="0" r="0" b="8890"/>
            <wp:wrapTopAndBottom/>
            <wp:docPr id="2063315947" name="Chart 1">
              <a:extLst xmlns:a="http://schemas.openxmlformats.org/drawingml/2006/main">
                <a:ext uri="{FF2B5EF4-FFF2-40B4-BE49-F238E27FC236}">
                  <a16:creationId xmlns:a16="http://schemas.microsoft.com/office/drawing/2014/main" id="{493FBCF0-7130-4398-6F0B-20FC6D8C6C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r w:rsidR="00370131" w:rsidRPr="00884703">
        <w:rPr>
          <w:rFonts w:ascii="Georgia" w:hAnsi="Georgia"/>
          <w:sz w:val="20"/>
          <w:szCs w:val="20"/>
        </w:rPr>
        <w:t>•</w:t>
      </w:r>
      <w:r w:rsidR="00370131" w:rsidRPr="00884703">
        <w:rPr>
          <w:rFonts w:ascii="Georgia" w:hAnsi="Georgia"/>
          <w:sz w:val="20"/>
          <w:szCs w:val="20"/>
        </w:rPr>
        <w:tab/>
        <w:t>CPI = Our Inflation Forecast</w:t>
      </w:r>
    </w:p>
    <w:p w14:paraId="54CD1D0A" w14:textId="512895E2" w:rsidR="00370131" w:rsidRDefault="00370131" w:rsidP="00370131">
      <w:pPr>
        <w:spacing w:line="360" w:lineRule="auto"/>
        <w:ind w:left="-288"/>
        <w:rPr>
          <w:rFonts w:ascii="Georgia" w:hAnsi="Georgia"/>
          <w:color w:val="EE0000"/>
          <w:sz w:val="20"/>
          <w:szCs w:val="20"/>
        </w:rPr>
      </w:pPr>
    </w:p>
    <w:p w14:paraId="0E194CAD" w14:textId="26E08BBB" w:rsidR="008114A2" w:rsidRDefault="008114A2" w:rsidP="00370131">
      <w:pPr>
        <w:spacing w:line="360" w:lineRule="auto"/>
        <w:ind w:left="-288"/>
        <w:rPr>
          <w:rFonts w:ascii="Georgia" w:hAnsi="Georgia"/>
          <w:b/>
          <w:bCs/>
          <w:sz w:val="20"/>
          <w:szCs w:val="20"/>
        </w:rPr>
      </w:pPr>
      <w:r w:rsidRPr="005D7F9E">
        <w:rPr>
          <w:rFonts w:ascii="Georgia" w:hAnsi="Georgia"/>
          <w:b/>
          <w:bCs/>
          <w:sz w:val="20"/>
          <w:szCs w:val="20"/>
        </w:rPr>
        <w:t>10-Year Forecast of Annualized Geometric Return: 5.</w:t>
      </w:r>
      <w:r w:rsidR="005D7F9E" w:rsidRPr="005D7F9E">
        <w:rPr>
          <w:rFonts w:ascii="Georgia" w:hAnsi="Georgia"/>
          <w:b/>
          <w:bCs/>
          <w:sz w:val="20"/>
          <w:szCs w:val="20"/>
        </w:rPr>
        <w:t>1</w:t>
      </w:r>
      <w:r w:rsidRPr="005D7F9E">
        <w:rPr>
          <w:rFonts w:ascii="Georgia" w:hAnsi="Georgia"/>
          <w:b/>
          <w:bCs/>
          <w:sz w:val="20"/>
          <w:szCs w:val="20"/>
        </w:rPr>
        <w:t>%</w:t>
      </w:r>
    </w:p>
    <w:p w14:paraId="6F1C50D5" w14:textId="77777777" w:rsidR="000535F7" w:rsidRPr="005D7F9E" w:rsidRDefault="000535F7" w:rsidP="00370131">
      <w:pPr>
        <w:spacing w:line="360" w:lineRule="auto"/>
        <w:ind w:left="-288"/>
        <w:rPr>
          <w:rFonts w:ascii="Georgia" w:hAnsi="Georgia"/>
          <w:b/>
          <w:bCs/>
          <w:sz w:val="20"/>
          <w:szCs w:val="20"/>
        </w:rPr>
      </w:pPr>
    </w:p>
    <w:p w14:paraId="1BF1931B" w14:textId="77777777" w:rsidR="000535F7" w:rsidRPr="008D289C" w:rsidRDefault="000535F7" w:rsidP="000535F7">
      <w:pPr>
        <w:spacing w:line="360" w:lineRule="auto"/>
        <w:ind w:left="-288"/>
        <w:rPr>
          <w:rFonts w:ascii="Georgia" w:hAnsi="Georgia"/>
          <w:i/>
          <w:iCs/>
          <w:sz w:val="16"/>
          <w:szCs w:val="16"/>
        </w:rPr>
      </w:pPr>
      <w:r w:rsidRPr="008D289C">
        <w:rPr>
          <w:rFonts w:ascii="Georgia" w:hAnsi="Georgia"/>
          <w:i/>
          <w:iCs/>
          <w:sz w:val="16"/>
          <w:szCs w:val="16"/>
        </w:rPr>
        <w:t>Use of Indices and Benchmark Return Indices cannot be invested in directly. Index performance is reported gross of fees and expenses and assumes the reinvest dividends and capital gains. Past performance does not indicate future performance and there is a possibility of a loss. See disclosure page for indices representing each asset class.</w:t>
      </w:r>
    </w:p>
    <w:p w14:paraId="25B4DB04" w14:textId="77777777" w:rsidR="008114A2" w:rsidRDefault="008114A2" w:rsidP="00370131">
      <w:pPr>
        <w:spacing w:line="360" w:lineRule="auto"/>
        <w:ind w:left="-288"/>
        <w:rPr>
          <w:rFonts w:ascii="Georgia" w:hAnsi="Georgia"/>
          <w:color w:val="EE0000"/>
          <w:sz w:val="20"/>
          <w:szCs w:val="20"/>
        </w:rPr>
      </w:pPr>
    </w:p>
    <w:p w14:paraId="20E0E055" w14:textId="062A5FAB" w:rsidR="00DC3711" w:rsidRPr="00FD604E" w:rsidRDefault="00282CB0" w:rsidP="00DC3711">
      <w:pPr>
        <w:spacing w:line="360" w:lineRule="auto"/>
        <w:ind w:left="-288"/>
        <w:rPr>
          <w:rFonts w:ascii="Georgia" w:hAnsi="Georgia"/>
          <w:sz w:val="20"/>
          <w:szCs w:val="20"/>
        </w:rPr>
      </w:pPr>
      <w:r w:rsidRPr="003B0E60">
        <w:rPr>
          <w:rFonts w:ascii="Georgia" w:hAnsi="Georgia"/>
          <w:b/>
          <w:bCs/>
          <w:color w:val="002855"/>
          <w:sz w:val="20"/>
          <w:szCs w:val="20"/>
        </w:rPr>
        <w:t xml:space="preserve">U.S. </w:t>
      </w:r>
      <w:r w:rsidR="008114A2">
        <w:rPr>
          <w:rFonts w:ascii="Georgia" w:hAnsi="Georgia"/>
          <w:b/>
          <w:bCs/>
          <w:color w:val="002855"/>
          <w:sz w:val="20"/>
          <w:szCs w:val="20"/>
        </w:rPr>
        <w:t xml:space="preserve">MID CAP </w:t>
      </w:r>
      <w:r w:rsidRPr="003B0E60">
        <w:rPr>
          <w:rFonts w:ascii="Georgia" w:hAnsi="Georgia"/>
          <w:b/>
          <w:bCs/>
          <w:color w:val="002855"/>
          <w:sz w:val="20"/>
          <w:szCs w:val="20"/>
        </w:rPr>
        <w:t>EQUITIES</w:t>
      </w:r>
      <w:r w:rsidRPr="004E721E">
        <w:rPr>
          <w:rFonts w:ascii="Georgia" w:hAnsi="Georgia"/>
          <w:b/>
          <w:bCs/>
          <w:color w:val="002855"/>
          <w:sz w:val="20"/>
          <w:szCs w:val="20"/>
        </w:rPr>
        <w:t>:</w:t>
      </w:r>
      <w:r w:rsidRPr="004E721E">
        <w:rPr>
          <w:rFonts w:ascii="Georgia" w:hAnsi="Georgia"/>
          <w:sz w:val="20"/>
          <w:szCs w:val="20"/>
        </w:rPr>
        <w:t xml:space="preserve"> </w:t>
      </w:r>
      <w:r w:rsidR="00DC3711" w:rsidRPr="00884703">
        <w:rPr>
          <w:rFonts w:ascii="Georgia" w:hAnsi="Georgia"/>
          <w:sz w:val="20"/>
          <w:szCs w:val="20"/>
        </w:rPr>
        <w:t>Using historical correlations and volatility for Large, Mid and Small Cap U.S. Equities (from 1979-202</w:t>
      </w:r>
      <w:r w:rsidR="00884703" w:rsidRPr="00884703">
        <w:rPr>
          <w:rFonts w:ascii="Georgia" w:hAnsi="Georgia"/>
          <w:sz w:val="20"/>
          <w:szCs w:val="20"/>
        </w:rPr>
        <w:t>5</w:t>
      </w:r>
      <w:r w:rsidR="00DC3711" w:rsidRPr="00884703">
        <w:rPr>
          <w:rFonts w:ascii="Georgia" w:hAnsi="Georgia"/>
          <w:sz w:val="20"/>
          <w:szCs w:val="20"/>
        </w:rPr>
        <w:t>) and U.S. market cap weights, the Black-</w:t>
      </w:r>
      <w:proofErr w:type="spellStart"/>
      <w:r w:rsidR="00DC3711" w:rsidRPr="00884703">
        <w:rPr>
          <w:rFonts w:ascii="Georgia" w:hAnsi="Georgia"/>
          <w:sz w:val="20"/>
          <w:szCs w:val="20"/>
        </w:rPr>
        <w:t>Litterman</w:t>
      </w:r>
      <w:proofErr w:type="spellEnd"/>
      <w:r w:rsidR="00DC3711" w:rsidRPr="00884703">
        <w:rPr>
          <w:rFonts w:ascii="Georgia" w:hAnsi="Georgia"/>
          <w:sz w:val="20"/>
          <w:szCs w:val="20"/>
        </w:rPr>
        <w:t xml:space="preserve"> arithmetic return forecast for Mid </w:t>
      </w:r>
      <w:r w:rsidR="00DC3711" w:rsidRPr="00CF6642">
        <w:rPr>
          <w:rFonts w:ascii="Georgia" w:hAnsi="Georgia"/>
          <w:sz w:val="20"/>
          <w:szCs w:val="20"/>
        </w:rPr>
        <w:t xml:space="preserve">Cap is </w:t>
      </w:r>
      <w:r w:rsidR="00CF6642" w:rsidRPr="00CF6642">
        <w:rPr>
          <w:rFonts w:ascii="Georgia" w:hAnsi="Georgia"/>
          <w:sz w:val="20"/>
          <w:szCs w:val="20"/>
        </w:rPr>
        <w:t>6.8</w:t>
      </w:r>
      <w:r w:rsidR="00DC3711" w:rsidRPr="00CF6642">
        <w:rPr>
          <w:rFonts w:ascii="Georgia" w:hAnsi="Georgia"/>
          <w:sz w:val="20"/>
          <w:szCs w:val="20"/>
        </w:rPr>
        <w:t>% (vs. 6.</w:t>
      </w:r>
      <w:r w:rsidR="00CF6642" w:rsidRPr="00CF6642">
        <w:rPr>
          <w:rFonts w:ascii="Georgia" w:hAnsi="Georgia"/>
          <w:sz w:val="20"/>
          <w:szCs w:val="20"/>
        </w:rPr>
        <w:t>5</w:t>
      </w:r>
      <w:r w:rsidR="00DC3711" w:rsidRPr="00CF6642">
        <w:rPr>
          <w:rFonts w:ascii="Georgia" w:hAnsi="Georgia"/>
          <w:sz w:val="20"/>
          <w:szCs w:val="20"/>
        </w:rPr>
        <w:t xml:space="preserve">% for Large Cap). Adjusting for </w:t>
      </w:r>
      <w:r w:rsidR="00DC3711" w:rsidRPr="00FD604E">
        <w:rPr>
          <w:rFonts w:ascii="Georgia" w:hAnsi="Georgia"/>
          <w:sz w:val="20"/>
          <w:szCs w:val="20"/>
        </w:rPr>
        <w:t>forecasted volatility (18.</w:t>
      </w:r>
      <w:r w:rsidR="00FD604E" w:rsidRPr="00FD604E">
        <w:rPr>
          <w:rFonts w:ascii="Georgia" w:hAnsi="Georgia"/>
          <w:sz w:val="20"/>
          <w:szCs w:val="20"/>
        </w:rPr>
        <w:t>0</w:t>
      </w:r>
      <w:r w:rsidR="00DC3711" w:rsidRPr="00FD604E">
        <w:rPr>
          <w:rFonts w:ascii="Georgia" w:hAnsi="Georgia"/>
          <w:sz w:val="20"/>
          <w:szCs w:val="20"/>
        </w:rPr>
        <w:t>% Annual Standard Deviation), our expected geometric return is 5.</w:t>
      </w:r>
      <w:r w:rsidR="00FD604E" w:rsidRPr="00FD604E">
        <w:rPr>
          <w:rFonts w:ascii="Georgia" w:hAnsi="Georgia"/>
          <w:sz w:val="20"/>
          <w:szCs w:val="20"/>
        </w:rPr>
        <w:t>1</w:t>
      </w:r>
      <w:r w:rsidR="00DC3711" w:rsidRPr="00FD604E">
        <w:rPr>
          <w:rFonts w:ascii="Georgia" w:hAnsi="Georgia"/>
          <w:sz w:val="20"/>
          <w:szCs w:val="20"/>
        </w:rPr>
        <w:t>8%.</w:t>
      </w:r>
    </w:p>
    <w:p w14:paraId="3592FE0E" w14:textId="29F46FCE" w:rsidR="00370131" w:rsidRPr="00FD604E" w:rsidRDefault="00DC3711" w:rsidP="00DC3711">
      <w:pPr>
        <w:spacing w:line="360" w:lineRule="auto"/>
        <w:ind w:left="-288"/>
        <w:rPr>
          <w:rFonts w:ascii="Georgia" w:hAnsi="Georgia"/>
          <w:b/>
          <w:bCs/>
          <w:sz w:val="20"/>
          <w:szCs w:val="20"/>
        </w:rPr>
      </w:pPr>
      <w:r w:rsidRPr="00FD604E">
        <w:rPr>
          <w:rFonts w:ascii="Georgia" w:hAnsi="Georgia"/>
          <w:b/>
          <w:bCs/>
          <w:sz w:val="20"/>
          <w:szCs w:val="20"/>
        </w:rPr>
        <w:t>10-Year Forecast of Annualized Geometric Return: 5.</w:t>
      </w:r>
      <w:r w:rsidR="00FD604E" w:rsidRPr="00FD604E">
        <w:rPr>
          <w:rFonts w:ascii="Georgia" w:hAnsi="Georgia"/>
          <w:b/>
          <w:bCs/>
          <w:sz w:val="20"/>
          <w:szCs w:val="20"/>
        </w:rPr>
        <w:t>2</w:t>
      </w:r>
      <w:r w:rsidRPr="00FD604E">
        <w:rPr>
          <w:rFonts w:ascii="Georgia" w:hAnsi="Georgia"/>
          <w:b/>
          <w:bCs/>
          <w:sz w:val="20"/>
          <w:szCs w:val="20"/>
        </w:rPr>
        <w:t>%</w:t>
      </w:r>
    </w:p>
    <w:p w14:paraId="3D5A6636" w14:textId="77777777" w:rsidR="00370131" w:rsidRDefault="00370131" w:rsidP="00370131">
      <w:pPr>
        <w:spacing w:line="360" w:lineRule="auto"/>
        <w:ind w:left="-288"/>
        <w:rPr>
          <w:rFonts w:ascii="Georgia" w:hAnsi="Georgia"/>
          <w:color w:val="EE0000"/>
          <w:sz w:val="20"/>
          <w:szCs w:val="20"/>
        </w:rPr>
      </w:pPr>
    </w:p>
    <w:p w14:paraId="15D392C3" w14:textId="54AA0F0D" w:rsidR="007F01BB" w:rsidRPr="00B66EAD" w:rsidRDefault="008114A2" w:rsidP="007F01BB">
      <w:pPr>
        <w:spacing w:line="360" w:lineRule="auto"/>
        <w:ind w:left="-288"/>
        <w:rPr>
          <w:rFonts w:ascii="Georgia" w:hAnsi="Georgia"/>
          <w:sz w:val="20"/>
          <w:szCs w:val="20"/>
        </w:rPr>
      </w:pPr>
      <w:r w:rsidRPr="003B0E60">
        <w:rPr>
          <w:rFonts w:ascii="Georgia" w:hAnsi="Georgia"/>
          <w:b/>
          <w:bCs/>
          <w:color w:val="002855"/>
          <w:sz w:val="20"/>
          <w:szCs w:val="20"/>
        </w:rPr>
        <w:t xml:space="preserve">U.S. </w:t>
      </w:r>
      <w:r>
        <w:rPr>
          <w:rFonts w:ascii="Georgia" w:hAnsi="Georgia"/>
          <w:b/>
          <w:bCs/>
          <w:color w:val="002855"/>
          <w:sz w:val="20"/>
          <w:szCs w:val="20"/>
        </w:rPr>
        <w:t xml:space="preserve">SMALL CAP </w:t>
      </w:r>
      <w:r w:rsidRPr="003B0E60">
        <w:rPr>
          <w:rFonts w:ascii="Georgia" w:hAnsi="Georgia"/>
          <w:b/>
          <w:bCs/>
          <w:color w:val="002855"/>
          <w:sz w:val="20"/>
          <w:szCs w:val="20"/>
        </w:rPr>
        <w:t>EQUITIES</w:t>
      </w:r>
      <w:r w:rsidRPr="004E721E">
        <w:rPr>
          <w:rFonts w:ascii="Georgia" w:hAnsi="Georgia"/>
          <w:b/>
          <w:bCs/>
          <w:color w:val="002855"/>
          <w:sz w:val="20"/>
          <w:szCs w:val="20"/>
        </w:rPr>
        <w:t>:</w:t>
      </w:r>
      <w:r w:rsidRPr="004E721E">
        <w:rPr>
          <w:rFonts w:ascii="Georgia" w:hAnsi="Georgia"/>
          <w:sz w:val="20"/>
          <w:szCs w:val="20"/>
        </w:rPr>
        <w:t xml:space="preserve"> </w:t>
      </w:r>
      <w:r w:rsidR="007F01BB" w:rsidRPr="00884703">
        <w:rPr>
          <w:rFonts w:ascii="Georgia" w:hAnsi="Georgia"/>
          <w:sz w:val="20"/>
          <w:szCs w:val="20"/>
        </w:rPr>
        <w:t xml:space="preserve">Using </w:t>
      </w:r>
      <w:r w:rsidR="007F01BB" w:rsidRPr="00B66EAD">
        <w:rPr>
          <w:rFonts w:ascii="Georgia" w:hAnsi="Georgia"/>
          <w:sz w:val="20"/>
          <w:szCs w:val="20"/>
        </w:rPr>
        <w:t>historical correlations and volatility for Large, Mid and Small Cap U.S. Equities (from 1979-202</w:t>
      </w:r>
      <w:r w:rsidR="00884703" w:rsidRPr="00B66EAD">
        <w:rPr>
          <w:rFonts w:ascii="Georgia" w:hAnsi="Georgia"/>
          <w:sz w:val="20"/>
          <w:szCs w:val="20"/>
        </w:rPr>
        <w:t>5</w:t>
      </w:r>
      <w:r w:rsidR="007F01BB" w:rsidRPr="00B66EAD">
        <w:rPr>
          <w:rFonts w:ascii="Georgia" w:hAnsi="Georgia"/>
          <w:sz w:val="20"/>
          <w:szCs w:val="20"/>
        </w:rPr>
        <w:t>) and U.S. market cap weights, the (unbiased) Black-</w:t>
      </w:r>
      <w:proofErr w:type="spellStart"/>
      <w:r w:rsidR="007F01BB" w:rsidRPr="00B66EAD">
        <w:rPr>
          <w:rFonts w:ascii="Georgia" w:hAnsi="Georgia"/>
          <w:sz w:val="20"/>
          <w:szCs w:val="20"/>
        </w:rPr>
        <w:t>Litterman</w:t>
      </w:r>
      <w:proofErr w:type="spellEnd"/>
      <w:r w:rsidR="007F01BB" w:rsidRPr="00B66EAD">
        <w:rPr>
          <w:rFonts w:ascii="Georgia" w:hAnsi="Georgia"/>
          <w:sz w:val="20"/>
          <w:szCs w:val="20"/>
        </w:rPr>
        <w:t xml:space="preserve"> arithmetic return forecast for Small Cap is 7.</w:t>
      </w:r>
      <w:r w:rsidR="00FD604E" w:rsidRPr="00B66EAD">
        <w:rPr>
          <w:rFonts w:ascii="Georgia" w:hAnsi="Georgia"/>
          <w:sz w:val="20"/>
          <w:szCs w:val="20"/>
        </w:rPr>
        <w:t>1</w:t>
      </w:r>
      <w:r w:rsidR="007F01BB" w:rsidRPr="00B66EAD">
        <w:rPr>
          <w:rFonts w:ascii="Georgia" w:hAnsi="Georgia"/>
          <w:sz w:val="20"/>
          <w:szCs w:val="20"/>
        </w:rPr>
        <w:t>% (vs. 6.</w:t>
      </w:r>
      <w:r w:rsidR="00FD604E" w:rsidRPr="00B66EAD">
        <w:rPr>
          <w:rFonts w:ascii="Georgia" w:hAnsi="Georgia"/>
          <w:sz w:val="20"/>
          <w:szCs w:val="20"/>
        </w:rPr>
        <w:t>5</w:t>
      </w:r>
      <w:r w:rsidR="007F01BB" w:rsidRPr="00B66EAD">
        <w:rPr>
          <w:rFonts w:ascii="Georgia" w:hAnsi="Georgia"/>
          <w:sz w:val="20"/>
          <w:szCs w:val="20"/>
        </w:rPr>
        <w:t>% for Large Cap). Adjusting for forecasted volatility (</w:t>
      </w:r>
      <w:r w:rsidR="00FD604E" w:rsidRPr="00B66EAD">
        <w:rPr>
          <w:rFonts w:ascii="Georgia" w:hAnsi="Georgia"/>
          <w:sz w:val="20"/>
          <w:szCs w:val="20"/>
        </w:rPr>
        <w:t>20.9</w:t>
      </w:r>
      <w:r w:rsidR="007F01BB" w:rsidRPr="00B66EAD">
        <w:rPr>
          <w:rFonts w:ascii="Georgia" w:hAnsi="Georgia"/>
          <w:sz w:val="20"/>
          <w:szCs w:val="20"/>
        </w:rPr>
        <w:t xml:space="preserve">% Annual Standard Deviation), our expected geometric return is </w:t>
      </w:r>
      <w:r w:rsidR="00B66EAD" w:rsidRPr="00B66EAD">
        <w:rPr>
          <w:rFonts w:ascii="Georgia" w:hAnsi="Georgia"/>
          <w:sz w:val="20"/>
          <w:szCs w:val="20"/>
        </w:rPr>
        <w:t>4.93</w:t>
      </w:r>
      <w:r w:rsidR="007F01BB" w:rsidRPr="00B66EAD">
        <w:rPr>
          <w:rFonts w:ascii="Georgia" w:hAnsi="Georgia"/>
          <w:sz w:val="20"/>
          <w:szCs w:val="20"/>
        </w:rPr>
        <w:t>%.</w:t>
      </w:r>
    </w:p>
    <w:p w14:paraId="2CB61FCD" w14:textId="494CF2ED" w:rsidR="008114A2" w:rsidRPr="00B66EAD" w:rsidRDefault="007F01BB" w:rsidP="007F01BB">
      <w:pPr>
        <w:spacing w:line="360" w:lineRule="auto"/>
        <w:ind w:left="-288"/>
        <w:rPr>
          <w:rFonts w:ascii="Georgia" w:hAnsi="Georgia"/>
          <w:b/>
          <w:bCs/>
          <w:sz w:val="20"/>
          <w:szCs w:val="20"/>
        </w:rPr>
      </w:pPr>
      <w:r w:rsidRPr="00B66EAD">
        <w:rPr>
          <w:rFonts w:ascii="Georgia" w:hAnsi="Georgia"/>
          <w:b/>
          <w:bCs/>
          <w:sz w:val="20"/>
          <w:szCs w:val="20"/>
        </w:rPr>
        <w:t xml:space="preserve">10-Year Forecast of Annualized Geometric Return: </w:t>
      </w:r>
      <w:r w:rsidR="00B66EAD" w:rsidRPr="00B66EAD">
        <w:rPr>
          <w:rFonts w:ascii="Georgia" w:hAnsi="Georgia"/>
          <w:b/>
          <w:bCs/>
          <w:sz w:val="20"/>
          <w:szCs w:val="20"/>
        </w:rPr>
        <w:t>4.9</w:t>
      </w:r>
      <w:r w:rsidRPr="00B66EAD">
        <w:rPr>
          <w:rFonts w:ascii="Georgia" w:hAnsi="Georgia"/>
          <w:b/>
          <w:bCs/>
          <w:sz w:val="20"/>
          <w:szCs w:val="20"/>
        </w:rPr>
        <w:t>%</w:t>
      </w:r>
    </w:p>
    <w:p w14:paraId="127449E9" w14:textId="77777777" w:rsidR="00370131" w:rsidRDefault="00370131" w:rsidP="00370131">
      <w:pPr>
        <w:spacing w:line="360" w:lineRule="auto"/>
        <w:ind w:left="-288"/>
        <w:rPr>
          <w:rFonts w:ascii="Georgia" w:hAnsi="Georgia"/>
          <w:color w:val="EE0000"/>
          <w:sz w:val="20"/>
          <w:szCs w:val="20"/>
        </w:rPr>
      </w:pPr>
    </w:p>
    <w:p w14:paraId="14FFE33F" w14:textId="7DB3DCF1" w:rsidR="007F01BB" w:rsidRPr="00A5003C" w:rsidRDefault="009710D7" w:rsidP="00A5003C">
      <w:pPr>
        <w:spacing w:line="360" w:lineRule="auto"/>
        <w:ind w:left="-288"/>
        <w:jc w:val="center"/>
        <w:rPr>
          <w:rFonts w:ascii="Georgia" w:hAnsi="Georgia"/>
          <w:b/>
          <w:bCs/>
          <w:sz w:val="20"/>
          <w:szCs w:val="20"/>
          <w:u w:val="single"/>
        </w:rPr>
      </w:pPr>
      <w:r w:rsidRPr="00A5003C">
        <w:rPr>
          <w:rFonts w:ascii="Georgia" w:hAnsi="Georgia"/>
          <w:b/>
          <w:bCs/>
          <w:sz w:val="20"/>
          <w:szCs w:val="20"/>
          <w:u w:val="single"/>
        </w:rPr>
        <w:t>Black-</w:t>
      </w:r>
      <w:proofErr w:type="spellStart"/>
      <w:r w:rsidRPr="00A5003C">
        <w:rPr>
          <w:rFonts w:ascii="Georgia" w:hAnsi="Georgia"/>
          <w:b/>
          <w:bCs/>
          <w:sz w:val="20"/>
          <w:szCs w:val="20"/>
          <w:u w:val="single"/>
        </w:rPr>
        <w:t>Litterman</w:t>
      </w:r>
      <w:proofErr w:type="spellEnd"/>
      <w:r w:rsidRPr="00A5003C">
        <w:rPr>
          <w:rFonts w:ascii="Georgia" w:hAnsi="Georgia"/>
          <w:b/>
          <w:bCs/>
          <w:sz w:val="20"/>
          <w:szCs w:val="20"/>
          <w:u w:val="single"/>
        </w:rPr>
        <w:t xml:space="preserve"> (U.S. Mid and Small Cap Equities)</w:t>
      </w:r>
      <w:r w:rsidRPr="00A5003C">
        <w:rPr>
          <w:rStyle w:val="FootnoteReference"/>
          <w:rFonts w:ascii="Georgia" w:hAnsi="Georgia"/>
          <w:b/>
          <w:bCs/>
          <w:sz w:val="20"/>
          <w:szCs w:val="20"/>
          <w:u w:val="single"/>
        </w:rPr>
        <w:footnoteReference w:id="6"/>
      </w:r>
      <w:r w:rsidR="00374BE6" w:rsidRPr="00A5003C">
        <w:rPr>
          <w:rFonts w:ascii="Georgia" w:hAnsi="Georgia"/>
          <w:b/>
          <w:bCs/>
          <w:sz w:val="20"/>
          <w:szCs w:val="20"/>
          <w:u w:val="single"/>
          <w:vertAlign w:val="superscript"/>
        </w:rPr>
        <w:t>,</w:t>
      </w:r>
      <w:r w:rsidR="00374BE6" w:rsidRPr="00A5003C">
        <w:rPr>
          <w:rStyle w:val="FootnoteReference"/>
          <w:rFonts w:ascii="Georgia" w:hAnsi="Georgia"/>
          <w:b/>
          <w:bCs/>
          <w:sz w:val="20"/>
          <w:szCs w:val="20"/>
          <w:u w:val="single"/>
        </w:rPr>
        <w:footnoteReference w:id="7"/>
      </w:r>
    </w:p>
    <w:p w14:paraId="4EE98181" w14:textId="72E9E1E4" w:rsidR="007F01BB" w:rsidRDefault="00A5424B" w:rsidP="00370131">
      <w:pPr>
        <w:spacing w:line="360" w:lineRule="auto"/>
        <w:ind w:left="-288"/>
        <w:rPr>
          <w:rFonts w:ascii="Georgia" w:hAnsi="Georgia"/>
          <w:color w:val="EE0000"/>
          <w:sz w:val="20"/>
          <w:szCs w:val="20"/>
        </w:rPr>
      </w:pPr>
      <w:r w:rsidRPr="008E7373">
        <w:rPr>
          <w:b/>
          <w:bCs/>
          <w:noProof/>
          <w:color w:val="002855"/>
        </w:rPr>
        <mc:AlternateContent>
          <mc:Choice Requires="wps">
            <w:drawing>
              <wp:anchor distT="0" distB="0" distL="114300" distR="114300" simplePos="0" relativeHeight="251670528" behindDoc="1" locked="0" layoutInCell="1" allowOverlap="1" wp14:anchorId="67696185" wp14:editId="30311488">
                <wp:simplePos x="0" y="0"/>
                <wp:positionH relativeFrom="margin">
                  <wp:align>left</wp:align>
                </wp:positionH>
                <wp:positionV relativeFrom="paragraph">
                  <wp:posOffset>1889786</wp:posOffset>
                </wp:positionV>
                <wp:extent cx="5962650" cy="306705"/>
                <wp:effectExtent l="0" t="0" r="0" b="0"/>
                <wp:wrapTopAndBottom/>
                <wp:docPr id="424417660" name="Text Box 424417660"/>
                <wp:cNvGraphicFramePr/>
                <a:graphic xmlns:a="http://schemas.openxmlformats.org/drawingml/2006/main">
                  <a:graphicData uri="http://schemas.microsoft.com/office/word/2010/wordprocessingShape">
                    <wps:wsp>
                      <wps:cNvSpPr txBox="1"/>
                      <wps:spPr>
                        <a:xfrm>
                          <a:off x="0" y="0"/>
                          <a:ext cx="5962650" cy="307238"/>
                        </a:xfrm>
                        <a:prstGeom prst="rect">
                          <a:avLst/>
                        </a:prstGeom>
                        <a:solidFill>
                          <a:prstClr val="white"/>
                        </a:solidFill>
                        <a:ln>
                          <a:noFill/>
                        </a:ln>
                      </wps:spPr>
                      <wps:txbx>
                        <w:txbxContent>
                          <w:p w14:paraId="098B3CA0" w14:textId="41E96FDF" w:rsidR="00A5424B" w:rsidRPr="008169ED" w:rsidRDefault="00A5424B" w:rsidP="008169ED">
                            <w:pPr>
                              <w:pStyle w:val="NoSpacing"/>
                              <w:jc w:val="center"/>
                              <w:rPr>
                                <w:rFonts w:ascii="Georgia" w:hAnsi="Georgia"/>
                                <w:i/>
                                <w:iCs/>
                                <w:sz w:val="16"/>
                                <w:szCs w:val="16"/>
                              </w:rPr>
                            </w:pPr>
                            <w:r w:rsidRPr="008169ED">
                              <w:rPr>
                                <w:rFonts w:ascii="Georgia" w:hAnsi="Georgia"/>
                                <w:i/>
                                <w:iCs/>
                                <w:sz w:val="16"/>
                                <w:szCs w:val="16"/>
                              </w:rPr>
                              <w:t>Source: Morningstar. As of October 31, 2025</w:t>
                            </w:r>
                          </w:p>
                          <w:p w14:paraId="77054E03" w14:textId="380AF883" w:rsidR="00A5424B" w:rsidRPr="008169ED" w:rsidRDefault="00A5424B" w:rsidP="008169ED">
                            <w:pPr>
                              <w:pStyle w:val="NoSpacing"/>
                              <w:jc w:val="center"/>
                              <w:rPr>
                                <w:rFonts w:ascii="Georgia" w:eastAsiaTheme="minorEastAsia" w:hAnsi="Georgia"/>
                                <w:i/>
                                <w:iCs/>
                                <w:sz w:val="16"/>
                                <w:szCs w:val="16"/>
                              </w:rPr>
                            </w:pPr>
                            <w:r w:rsidRPr="008169ED">
                              <w:rPr>
                                <w:rFonts w:ascii="Georgia" w:eastAsiaTheme="minorEastAsia" w:hAnsi="Georgia"/>
                                <w:i/>
                                <w:iCs/>
                                <w:sz w:val="16"/>
                                <w:szCs w:val="16"/>
                              </w:rPr>
                              <w:t xml:space="preserve">See </w:t>
                            </w:r>
                            <w:r w:rsidR="004D1F00" w:rsidRPr="008169ED">
                              <w:rPr>
                                <w:rFonts w:ascii="Georgia" w:eastAsiaTheme="minorEastAsia" w:hAnsi="Georgia"/>
                                <w:i/>
                                <w:iCs/>
                                <w:sz w:val="16"/>
                                <w:szCs w:val="16"/>
                              </w:rPr>
                              <w:t>the appendix for additional information about the Black-Litterman method.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96185" id="Text Box 424417660" o:spid="_x0000_s1040" type="#_x0000_t202" style="position:absolute;left:0;text-align:left;margin-left:0;margin-top:148.8pt;width:469.5pt;height:24.15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" stroked="f">
                <v:textbox inset="0,0,0,0">
                  <w:txbxContent>
                    <w:p w14:paraId="098B3CA0" w14:textId="41E96FDF" w:rsidR="00A5424B" w:rsidRPr="008169ED" w:rsidRDefault="00A5424B" w:rsidP="008169ED">
                      <w:pPr>
                        <w:pStyle w:val="NoSpacing"/>
                        <w:jc w:val="center"/>
                        <w:rPr>
                          <w:rFonts w:ascii="Georgia" w:hAnsi="Georgia"/>
                          <w:i/>
                          <w:iCs/>
                          <w:sz w:val="16"/>
                          <w:szCs w:val="16"/>
                        </w:rPr>
                      </w:pPr>
                      <w:r w:rsidRPr="008169ED">
                        <w:rPr>
                          <w:rFonts w:ascii="Georgia" w:hAnsi="Georgia"/>
                          <w:i/>
                          <w:iCs/>
                          <w:sz w:val="16"/>
                          <w:szCs w:val="16"/>
                        </w:rPr>
                        <w:t>Source: Morningstar. As of October 31, 2025</w:t>
                      </w:r>
                    </w:p>
                    <w:p w14:paraId="77054E03" w14:textId="380AF883" w:rsidR="00A5424B" w:rsidRPr="008169ED" w:rsidRDefault="00A5424B" w:rsidP="008169ED">
                      <w:pPr>
                        <w:pStyle w:val="NoSpacing"/>
                        <w:jc w:val="center"/>
                        <w:rPr>
                          <w:rFonts w:ascii="Georgia" w:eastAsiaTheme="minorEastAsia" w:hAnsi="Georgia"/>
                          <w:i/>
                          <w:iCs/>
                          <w:sz w:val="16"/>
                          <w:szCs w:val="16"/>
                        </w:rPr>
                      </w:pPr>
                      <w:r w:rsidRPr="008169ED">
                        <w:rPr>
                          <w:rFonts w:ascii="Georgia" w:eastAsiaTheme="minorEastAsia" w:hAnsi="Georgia"/>
                          <w:i/>
                          <w:iCs/>
                          <w:sz w:val="16"/>
                          <w:szCs w:val="16"/>
                        </w:rPr>
                        <w:t xml:space="preserve">See </w:t>
                      </w:r>
                      <w:r w:rsidR="004D1F00" w:rsidRPr="008169ED">
                        <w:rPr>
                          <w:rFonts w:ascii="Georgia" w:eastAsiaTheme="minorEastAsia" w:hAnsi="Georgia"/>
                          <w:i/>
                          <w:iCs/>
                          <w:sz w:val="16"/>
                          <w:szCs w:val="16"/>
                        </w:rPr>
                        <w:t>the appendix for additional information about the Black-Litterman method.</w:t>
                      </w:r>
                    </w:p>
                  </w:txbxContent>
                </v:textbox>
                <w10:wrap type="topAndBottom" anchorx="margin"/>
              </v:shape>
            </w:pict>
          </mc:Fallback>
        </mc:AlternateContent>
      </w:r>
      <w:r w:rsidR="00D56965" w:rsidRPr="00D56965">
        <w:rPr>
          <w:rFonts w:ascii="Georgia" w:hAnsi="Georgia"/>
          <w:noProof/>
          <w:color w:val="EE0000"/>
          <w:sz w:val="20"/>
          <w:szCs w:val="20"/>
        </w:rPr>
        <w:drawing>
          <wp:inline distT="0" distB="0" distL="0" distR="0" wp14:anchorId="358B3F4F" wp14:editId="410605AA">
            <wp:extent cx="6229350" cy="1889125"/>
            <wp:effectExtent l="0" t="0" r="0" b="0"/>
            <wp:docPr id="1724935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35171" name=""/>
                    <pic:cNvPicPr/>
                  </pic:nvPicPr>
                  <pic:blipFill>
                    <a:blip r:embed="rId27"/>
                    <a:stretch>
                      <a:fillRect/>
                    </a:stretch>
                  </pic:blipFill>
                  <pic:spPr>
                    <a:xfrm>
                      <a:off x="0" y="0"/>
                      <a:ext cx="6229350" cy="1889125"/>
                    </a:xfrm>
                    <a:prstGeom prst="rect">
                      <a:avLst/>
                    </a:prstGeom>
                  </pic:spPr>
                </pic:pic>
              </a:graphicData>
            </a:graphic>
          </wp:inline>
        </w:drawing>
      </w:r>
    </w:p>
    <w:p w14:paraId="624FF53A" w14:textId="3D3344F9" w:rsidR="00EA389A" w:rsidRDefault="00EA389A" w:rsidP="00370131">
      <w:pPr>
        <w:spacing w:line="360" w:lineRule="auto"/>
        <w:ind w:left="-288"/>
        <w:rPr>
          <w:rFonts w:ascii="Georgia" w:hAnsi="Georgia"/>
          <w:color w:val="EE0000"/>
          <w:sz w:val="20"/>
          <w:szCs w:val="20"/>
        </w:rPr>
      </w:pPr>
    </w:p>
    <w:p w14:paraId="588E9756" w14:textId="6746385D" w:rsidR="00312065" w:rsidRPr="00B66EAD" w:rsidRDefault="007F01BB" w:rsidP="00312065">
      <w:pPr>
        <w:spacing w:line="360" w:lineRule="auto"/>
        <w:ind w:left="-288"/>
        <w:rPr>
          <w:rFonts w:ascii="Georgia" w:hAnsi="Georgia"/>
          <w:sz w:val="20"/>
          <w:szCs w:val="20"/>
        </w:rPr>
      </w:pPr>
      <w:r w:rsidRPr="003B0E60">
        <w:rPr>
          <w:rFonts w:ascii="Georgia" w:hAnsi="Georgia"/>
          <w:b/>
          <w:bCs/>
          <w:color w:val="002855"/>
          <w:sz w:val="20"/>
          <w:szCs w:val="20"/>
        </w:rPr>
        <w:t xml:space="preserve">U.S. </w:t>
      </w:r>
      <w:r>
        <w:rPr>
          <w:rFonts w:ascii="Georgia" w:hAnsi="Georgia"/>
          <w:b/>
          <w:bCs/>
          <w:color w:val="002855"/>
          <w:sz w:val="20"/>
          <w:szCs w:val="20"/>
        </w:rPr>
        <w:t xml:space="preserve">ALL CAP </w:t>
      </w:r>
      <w:r w:rsidRPr="003B0E60">
        <w:rPr>
          <w:rFonts w:ascii="Georgia" w:hAnsi="Georgia"/>
          <w:b/>
          <w:bCs/>
          <w:color w:val="002855"/>
          <w:sz w:val="20"/>
          <w:szCs w:val="20"/>
        </w:rPr>
        <w:t>EQUITIES</w:t>
      </w:r>
      <w:r w:rsidRPr="004E721E">
        <w:rPr>
          <w:rFonts w:ascii="Georgia" w:hAnsi="Georgia"/>
          <w:b/>
          <w:bCs/>
          <w:color w:val="002855"/>
          <w:sz w:val="20"/>
          <w:szCs w:val="20"/>
        </w:rPr>
        <w:t>:</w:t>
      </w:r>
      <w:r w:rsidRPr="004E721E">
        <w:rPr>
          <w:rFonts w:ascii="Georgia" w:hAnsi="Georgia"/>
          <w:sz w:val="20"/>
          <w:szCs w:val="20"/>
        </w:rPr>
        <w:t xml:space="preserve"> </w:t>
      </w:r>
      <w:r w:rsidR="00312065" w:rsidRPr="00B66EAD">
        <w:rPr>
          <w:rFonts w:ascii="Georgia" w:hAnsi="Georgia"/>
          <w:sz w:val="20"/>
          <w:szCs w:val="20"/>
        </w:rPr>
        <w:t>Using relative market capitalization weights</w:t>
      </w:r>
      <w:r w:rsidR="001B2C92" w:rsidRPr="00B66EAD">
        <w:rPr>
          <w:rStyle w:val="FootnoteReference"/>
          <w:rFonts w:ascii="Georgia" w:hAnsi="Georgia"/>
          <w:sz w:val="20"/>
          <w:szCs w:val="20"/>
        </w:rPr>
        <w:footnoteReference w:id="8"/>
      </w:r>
      <w:r w:rsidR="00312065" w:rsidRPr="00B66EAD">
        <w:rPr>
          <w:rFonts w:ascii="Georgia" w:hAnsi="Georgia"/>
          <w:sz w:val="20"/>
          <w:szCs w:val="20"/>
        </w:rPr>
        <w:t>, historical correlation, volatility and our forecasted expected returns for Large, Mid and Small Cap U.S. Equities, the expected geometric return forecast for All Cap is 5.</w:t>
      </w:r>
      <w:r w:rsidR="00B66EAD" w:rsidRPr="00B66EAD">
        <w:rPr>
          <w:rFonts w:ascii="Georgia" w:hAnsi="Georgia"/>
          <w:sz w:val="20"/>
          <w:szCs w:val="20"/>
        </w:rPr>
        <w:t>17</w:t>
      </w:r>
      <w:r w:rsidR="00312065" w:rsidRPr="00B66EAD">
        <w:rPr>
          <w:rFonts w:ascii="Georgia" w:hAnsi="Georgia"/>
          <w:sz w:val="20"/>
          <w:szCs w:val="20"/>
        </w:rPr>
        <w:t>%.</w:t>
      </w:r>
    </w:p>
    <w:p w14:paraId="74439298" w14:textId="26578475" w:rsidR="007F01BB" w:rsidRPr="00B66EAD" w:rsidRDefault="00312065" w:rsidP="00312065">
      <w:pPr>
        <w:spacing w:line="360" w:lineRule="auto"/>
        <w:ind w:left="-288"/>
        <w:rPr>
          <w:rFonts w:ascii="Georgia" w:hAnsi="Georgia"/>
          <w:b/>
          <w:bCs/>
          <w:sz w:val="20"/>
          <w:szCs w:val="20"/>
        </w:rPr>
      </w:pPr>
      <w:r w:rsidRPr="00B66EAD">
        <w:rPr>
          <w:rFonts w:ascii="Georgia" w:hAnsi="Georgia"/>
          <w:b/>
          <w:bCs/>
          <w:sz w:val="20"/>
          <w:szCs w:val="20"/>
        </w:rPr>
        <w:t>10-Year Forecast of Annualized Geometric Return: 5.</w:t>
      </w:r>
      <w:r w:rsidR="00B66EAD" w:rsidRPr="00B66EAD">
        <w:rPr>
          <w:rFonts w:ascii="Georgia" w:hAnsi="Georgia"/>
          <w:b/>
          <w:bCs/>
          <w:sz w:val="20"/>
          <w:szCs w:val="20"/>
        </w:rPr>
        <w:t>2</w:t>
      </w:r>
      <w:r w:rsidRPr="00B66EAD">
        <w:rPr>
          <w:rFonts w:ascii="Georgia" w:hAnsi="Georgia"/>
          <w:b/>
          <w:bCs/>
          <w:sz w:val="20"/>
          <w:szCs w:val="20"/>
        </w:rPr>
        <w:t>%</w:t>
      </w:r>
    </w:p>
    <w:p w14:paraId="5777808F" w14:textId="77777777" w:rsidR="007F01BB" w:rsidRDefault="007F01BB" w:rsidP="00370131">
      <w:pPr>
        <w:spacing w:line="360" w:lineRule="auto"/>
        <w:ind w:left="-288"/>
        <w:rPr>
          <w:rFonts w:ascii="Georgia" w:hAnsi="Georgia"/>
          <w:color w:val="EE0000"/>
          <w:sz w:val="20"/>
          <w:szCs w:val="20"/>
        </w:rPr>
      </w:pPr>
    </w:p>
    <w:p w14:paraId="72B8EAD9" w14:textId="77777777" w:rsidR="007F01BB" w:rsidRDefault="007F01BB" w:rsidP="00370131">
      <w:pPr>
        <w:spacing w:line="360" w:lineRule="auto"/>
        <w:ind w:left="-288"/>
        <w:rPr>
          <w:rFonts w:ascii="Georgia" w:hAnsi="Georgia"/>
          <w:color w:val="EE0000"/>
          <w:sz w:val="20"/>
          <w:szCs w:val="20"/>
        </w:rPr>
      </w:pPr>
    </w:p>
    <w:p w14:paraId="6918C345" w14:textId="03B60692" w:rsidR="002C3AD5" w:rsidRPr="002C3AD5" w:rsidRDefault="008D6567" w:rsidP="002C3AD5">
      <w:pPr>
        <w:spacing w:line="360" w:lineRule="auto"/>
        <w:ind w:left="-288"/>
        <w:rPr>
          <w:rFonts w:ascii="Georgia" w:hAnsi="Georgia"/>
          <w:color w:val="EE0000"/>
          <w:sz w:val="20"/>
          <w:szCs w:val="20"/>
        </w:rPr>
      </w:pPr>
      <w:r>
        <w:rPr>
          <w:rFonts w:ascii="Georgia" w:hAnsi="Georgia"/>
          <w:b/>
          <w:bCs/>
          <w:color w:val="002855"/>
          <w:sz w:val="20"/>
          <w:szCs w:val="20"/>
        </w:rPr>
        <w:lastRenderedPageBreak/>
        <w:t xml:space="preserve">FOREIGN DEVELOPED </w:t>
      </w:r>
      <w:r w:rsidRPr="003B0E60">
        <w:rPr>
          <w:rFonts w:ascii="Georgia" w:hAnsi="Georgia"/>
          <w:b/>
          <w:bCs/>
          <w:color w:val="002855"/>
          <w:sz w:val="20"/>
          <w:szCs w:val="20"/>
        </w:rPr>
        <w:t>EQUITIES</w:t>
      </w:r>
      <w:r w:rsidRPr="004E721E">
        <w:rPr>
          <w:rFonts w:ascii="Georgia" w:hAnsi="Georgia"/>
          <w:b/>
          <w:bCs/>
          <w:color w:val="002855"/>
          <w:sz w:val="20"/>
          <w:szCs w:val="20"/>
        </w:rPr>
        <w:t>:</w:t>
      </w:r>
      <w:r w:rsidRPr="004E721E">
        <w:rPr>
          <w:rFonts w:ascii="Georgia" w:hAnsi="Georgia"/>
          <w:sz w:val="20"/>
          <w:szCs w:val="20"/>
        </w:rPr>
        <w:t xml:space="preserve"> </w:t>
      </w:r>
      <w:r w:rsidR="002C3AD5" w:rsidRPr="00884703">
        <w:rPr>
          <w:rFonts w:ascii="Georgia" w:hAnsi="Georgia"/>
          <w:sz w:val="20"/>
          <w:szCs w:val="20"/>
        </w:rPr>
        <w:t xml:space="preserve">The expected geometric return forecast for Foreign Developed Equities (MSCI EAFE) is derived by applying the Cyclically-Adjusted Earnings Yield Method where return is a function of the 10-year average real earnings, current price and our 10-year inflation assumption (CPI). </w:t>
      </w:r>
    </w:p>
    <w:p w14:paraId="7608268C" w14:textId="77777777" w:rsidR="002C3AD5" w:rsidRPr="002C3AD5" w:rsidRDefault="002C3AD5" w:rsidP="002C3AD5">
      <w:pPr>
        <w:spacing w:line="360" w:lineRule="auto"/>
        <w:ind w:left="-288"/>
        <w:rPr>
          <w:rFonts w:ascii="Georgia" w:hAnsi="Georgia"/>
          <w:color w:val="EE0000"/>
          <w:sz w:val="20"/>
          <w:szCs w:val="20"/>
        </w:rPr>
      </w:pPr>
    </w:p>
    <w:p w14:paraId="31BBCC0F" w14:textId="77777777" w:rsidR="002C3AD5" w:rsidRPr="00550588" w:rsidRDefault="002C3AD5" w:rsidP="002C3AD5">
      <w:pPr>
        <w:spacing w:line="360" w:lineRule="auto"/>
        <w:ind w:left="-288"/>
        <w:rPr>
          <w:rFonts w:ascii="Georgia" w:hAnsi="Georgia"/>
          <w:sz w:val="20"/>
          <w:szCs w:val="20"/>
        </w:rPr>
      </w:pPr>
      <w:r w:rsidRPr="00661405">
        <w:rPr>
          <w:rFonts w:ascii="Georgia" w:hAnsi="Georgia"/>
          <w:sz w:val="20"/>
          <w:szCs w:val="20"/>
        </w:rPr>
        <w:t xml:space="preserve">Cyclically-Adjusted </w:t>
      </w:r>
      <w:r w:rsidRPr="00550588">
        <w:rPr>
          <w:rFonts w:ascii="Georgia" w:hAnsi="Georgia"/>
          <w:sz w:val="20"/>
          <w:szCs w:val="20"/>
        </w:rPr>
        <w:t>Earnings Yield Method: {[1 + (EARNINGS/PRICE)] * (1 + CPI)} - 1</w:t>
      </w:r>
    </w:p>
    <w:p w14:paraId="0C903764" w14:textId="15CBFA90" w:rsidR="002C3AD5" w:rsidRPr="00550588" w:rsidRDefault="002C3AD5" w:rsidP="002C3AD5">
      <w:pPr>
        <w:spacing w:line="360" w:lineRule="auto"/>
        <w:ind w:left="-288"/>
        <w:rPr>
          <w:rFonts w:ascii="Georgia" w:hAnsi="Georgia"/>
          <w:sz w:val="20"/>
          <w:szCs w:val="20"/>
        </w:rPr>
      </w:pPr>
      <w:r w:rsidRPr="00550588">
        <w:rPr>
          <w:rFonts w:ascii="Georgia" w:hAnsi="Georgia"/>
          <w:sz w:val="20"/>
          <w:szCs w:val="20"/>
        </w:rPr>
        <w:t>10-Year Forecast (202</w:t>
      </w:r>
      <w:r w:rsidR="00661405" w:rsidRPr="00550588">
        <w:rPr>
          <w:rFonts w:ascii="Georgia" w:hAnsi="Georgia"/>
          <w:sz w:val="20"/>
          <w:szCs w:val="20"/>
        </w:rPr>
        <w:t>6</w:t>
      </w:r>
      <w:r w:rsidRPr="00550588">
        <w:rPr>
          <w:rFonts w:ascii="Georgia" w:hAnsi="Georgia"/>
          <w:sz w:val="20"/>
          <w:szCs w:val="20"/>
        </w:rPr>
        <w:t xml:space="preserve"> - 203</w:t>
      </w:r>
      <w:r w:rsidR="00661405" w:rsidRPr="00550588">
        <w:rPr>
          <w:rFonts w:ascii="Georgia" w:hAnsi="Georgia"/>
          <w:sz w:val="20"/>
          <w:szCs w:val="20"/>
        </w:rPr>
        <w:t>5</w:t>
      </w:r>
      <w:r w:rsidRPr="00550588">
        <w:rPr>
          <w:rFonts w:ascii="Georgia" w:hAnsi="Georgia"/>
          <w:sz w:val="20"/>
          <w:szCs w:val="20"/>
        </w:rPr>
        <w:t>): {[1 + (</w:t>
      </w:r>
      <w:r w:rsidR="00550588" w:rsidRPr="00550588">
        <w:rPr>
          <w:rFonts w:ascii="Georgia" w:hAnsi="Georgia"/>
          <w:sz w:val="20"/>
          <w:szCs w:val="20"/>
        </w:rPr>
        <w:t>147.57</w:t>
      </w:r>
      <w:r w:rsidRPr="00550588">
        <w:rPr>
          <w:rFonts w:ascii="Georgia" w:hAnsi="Georgia"/>
          <w:sz w:val="20"/>
          <w:szCs w:val="20"/>
        </w:rPr>
        <w:t xml:space="preserve"> / 2,</w:t>
      </w:r>
      <w:r w:rsidR="00540759" w:rsidRPr="00550588">
        <w:rPr>
          <w:rFonts w:ascii="Georgia" w:hAnsi="Georgia"/>
          <w:sz w:val="20"/>
          <w:szCs w:val="20"/>
        </w:rPr>
        <w:t>797.54</w:t>
      </w:r>
      <w:r w:rsidRPr="00550588">
        <w:rPr>
          <w:rFonts w:ascii="Georgia" w:hAnsi="Georgia"/>
          <w:sz w:val="20"/>
          <w:szCs w:val="20"/>
        </w:rPr>
        <w:t>)] * (1 + 2.3</w:t>
      </w:r>
      <w:r w:rsidR="00540759" w:rsidRPr="00550588">
        <w:rPr>
          <w:rFonts w:ascii="Georgia" w:hAnsi="Georgia"/>
          <w:sz w:val="20"/>
          <w:szCs w:val="20"/>
        </w:rPr>
        <w:t>0</w:t>
      </w:r>
      <w:r w:rsidRPr="00550588">
        <w:rPr>
          <w:rFonts w:ascii="Georgia" w:hAnsi="Georgia"/>
          <w:sz w:val="20"/>
          <w:szCs w:val="20"/>
        </w:rPr>
        <w:t>%)} - 1</w:t>
      </w:r>
    </w:p>
    <w:p w14:paraId="13A9A5F0" w14:textId="33C24A30" w:rsidR="002C3AD5" w:rsidRPr="00550588" w:rsidRDefault="002C3AD5" w:rsidP="002C3AD5">
      <w:pPr>
        <w:spacing w:line="360" w:lineRule="auto"/>
        <w:ind w:left="-288"/>
        <w:rPr>
          <w:rFonts w:ascii="Georgia" w:hAnsi="Georgia"/>
          <w:sz w:val="20"/>
          <w:szCs w:val="20"/>
        </w:rPr>
      </w:pPr>
      <w:r w:rsidRPr="00550588">
        <w:rPr>
          <w:rFonts w:ascii="Georgia" w:hAnsi="Georgia"/>
          <w:sz w:val="20"/>
          <w:szCs w:val="20"/>
        </w:rPr>
        <w:t>10-Year Forecast (202</w:t>
      </w:r>
      <w:r w:rsidR="00661405" w:rsidRPr="00550588">
        <w:rPr>
          <w:rFonts w:ascii="Georgia" w:hAnsi="Georgia"/>
          <w:sz w:val="20"/>
          <w:szCs w:val="20"/>
        </w:rPr>
        <w:t>6</w:t>
      </w:r>
      <w:r w:rsidRPr="00550588">
        <w:rPr>
          <w:rFonts w:ascii="Georgia" w:hAnsi="Georgia"/>
          <w:sz w:val="20"/>
          <w:szCs w:val="20"/>
        </w:rPr>
        <w:t xml:space="preserve"> - 203</w:t>
      </w:r>
      <w:r w:rsidR="00661405" w:rsidRPr="00550588">
        <w:rPr>
          <w:rFonts w:ascii="Georgia" w:hAnsi="Georgia"/>
          <w:sz w:val="20"/>
          <w:szCs w:val="20"/>
        </w:rPr>
        <w:t>5</w:t>
      </w:r>
      <w:r w:rsidRPr="00550588">
        <w:rPr>
          <w:rFonts w:ascii="Georgia" w:hAnsi="Georgia"/>
          <w:sz w:val="20"/>
          <w:szCs w:val="20"/>
        </w:rPr>
        <w:t xml:space="preserve">): {(1 + </w:t>
      </w:r>
      <w:r w:rsidR="00550588" w:rsidRPr="00550588">
        <w:rPr>
          <w:rFonts w:ascii="Georgia" w:hAnsi="Georgia"/>
          <w:sz w:val="20"/>
          <w:szCs w:val="20"/>
        </w:rPr>
        <w:t>5.28</w:t>
      </w:r>
      <w:r w:rsidRPr="00550588">
        <w:rPr>
          <w:rFonts w:ascii="Georgia" w:hAnsi="Georgia"/>
          <w:sz w:val="20"/>
          <w:szCs w:val="20"/>
        </w:rPr>
        <w:t>%) * (1 + 2.3</w:t>
      </w:r>
      <w:r w:rsidR="00540759" w:rsidRPr="00550588">
        <w:rPr>
          <w:rFonts w:ascii="Georgia" w:hAnsi="Georgia"/>
          <w:sz w:val="20"/>
          <w:szCs w:val="20"/>
        </w:rPr>
        <w:t>0</w:t>
      </w:r>
      <w:r w:rsidRPr="00550588">
        <w:rPr>
          <w:rFonts w:ascii="Georgia" w:hAnsi="Georgia"/>
          <w:sz w:val="20"/>
          <w:szCs w:val="20"/>
        </w:rPr>
        <w:t xml:space="preserve">%)} - 1 = </w:t>
      </w:r>
      <w:r w:rsidR="00550588" w:rsidRPr="00550588">
        <w:rPr>
          <w:rFonts w:ascii="Georgia" w:hAnsi="Georgia"/>
          <w:sz w:val="20"/>
          <w:szCs w:val="20"/>
        </w:rPr>
        <w:t>7.70</w:t>
      </w:r>
      <w:r w:rsidRPr="00550588">
        <w:rPr>
          <w:rFonts w:ascii="Georgia" w:hAnsi="Georgia"/>
          <w:sz w:val="20"/>
          <w:szCs w:val="20"/>
        </w:rPr>
        <w:t>%</w:t>
      </w:r>
    </w:p>
    <w:p w14:paraId="6E4F9AE9" w14:textId="33D8E78A" w:rsidR="002C3AD5" w:rsidRPr="002C3AD5" w:rsidRDefault="002C3AD5" w:rsidP="002C3AD5">
      <w:pPr>
        <w:spacing w:line="360" w:lineRule="auto"/>
        <w:ind w:left="-288"/>
        <w:rPr>
          <w:rFonts w:ascii="Georgia" w:hAnsi="Georgia"/>
          <w:color w:val="EE0000"/>
          <w:sz w:val="20"/>
          <w:szCs w:val="20"/>
        </w:rPr>
      </w:pPr>
      <w:r w:rsidRPr="00550588">
        <w:rPr>
          <w:rFonts w:ascii="Georgia" w:hAnsi="Georgia"/>
          <w:sz w:val="20"/>
          <w:szCs w:val="20"/>
        </w:rPr>
        <w:t>10-Year Forecast (202</w:t>
      </w:r>
      <w:r w:rsidR="00661405" w:rsidRPr="00550588">
        <w:rPr>
          <w:rFonts w:ascii="Georgia" w:hAnsi="Georgia"/>
          <w:sz w:val="20"/>
          <w:szCs w:val="20"/>
        </w:rPr>
        <w:t>6</w:t>
      </w:r>
      <w:r w:rsidRPr="00550588">
        <w:rPr>
          <w:rFonts w:ascii="Georgia" w:hAnsi="Georgia"/>
          <w:sz w:val="20"/>
          <w:szCs w:val="20"/>
        </w:rPr>
        <w:t xml:space="preserve"> - 203</w:t>
      </w:r>
      <w:r w:rsidR="00661405" w:rsidRPr="00550588">
        <w:rPr>
          <w:rFonts w:ascii="Georgia" w:hAnsi="Georgia"/>
          <w:sz w:val="20"/>
          <w:szCs w:val="20"/>
        </w:rPr>
        <w:t>5</w:t>
      </w:r>
      <w:r w:rsidRPr="00550588">
        <w:rPr>
          <w:rFonts w:ascii="Georgia" w:hAnsi="Georgia"/>
          <w:sz w:val="20"/>
          <w:szCs w:val="20"/>
        </w:rPr>
        <w:t xml:space="preserve">): </w:t>
      </w:r>
      <w:r w:rsidR="00550588" w:rsidRPr="00550588">
        <w:rPr>
          <w:rFonts w:ascii="Georgia" w:hAnsi="Georgia"/>
          <w:sz w:val="20"/>
          <w:szCs w:val="20"/>
        </w:rPr>
        <w:t>7.70</w:t>
      </w:r>
      <w:r w:rsidRPr="00550588">
        <w:rPr>
          <w:rFonts w:ascii="Georgia" w:hAnsi="Georgia"/>
          <w:sz w:val="20"/>
          <w:szCs w:val="20"/>
        </w:rPr>
        <w:t>%</w:t>
      </w:r>
    </w:p>
    <w:p w14:paraId="7EF6DBB8" w14:textId="77777777" w:rsidR="002C3AD5" w:rsidRPr="00661405" w:rsidRDefault="002C3AD5" w:rsidP="002C3AD5">
      <w:pPr>
        <w:spacing w:line="360" w:lineRule="auto"/>
        <w:ind w:left="-288"/>
        <w:rPr>
          <w:rFonts w:ascii="Georgia" w:hAnsi="Georgia"/>
          <w:sz w:val="20"/>
          <w:szCs w:val="20"/>
        </w:rPr>
      </w:pPr>
    </w:p>
    <w:p w14:paraId="5F582471" w14:textId="1B3753A9" w:rsidR="002C3AD5" w:rsidRPr="00661405" w:rsidRDefault="002C3AD5" w:rsidP="002C3AD5">
      <w:pPr>
        <w:spacing w:line="360" w:lineRule="auto"/>
        <w:ind w:left="-288"/>
        <w:rPr>
          <w:rFonts w:ascii="Georgia" w:hAnsi="Georgia"/>
          <w:sz w:val="20"/>
          <w:szCs w:val="20"/>
        </w:rPr>
      </w:pPr>
      <w:r w:rsidRPr="00661405">
        <w:rPr>
          <w:rFonts w:ascii="Georgia" w:hAnsi="Georgia"/>
          <w:sz w:val="20"/>
          <w:szCs w:val="20"/>
        </w:rPr>
        <w:t>•</w:t>
      </w:r>
      <w:r w:rsidRPr="00661405">
        <w:rPr>
          <w:rFonts w:ascii="Georgia" w:hAnsi="Georgia"/>
          <w:sz w:val="20"/>
          <w:szCs w:val="20"/>
        </w:rPr>
        <w:tab/>
        <w:t>EARNINGS = 10-Year average real earnings of the MSCI EAFE Index as of October 31, 202</w:t>
      </w:r>
      <w:r w:rsidR="00661405" w:rsidRPr="00661405">
        <w:rPr>
          <w:rFonts w:ascii="Georgia" w:hAnsi="Georgia"/>
          <w:sz w:val="20"/>
          <w:szCs w:val="20"/>
        </w:rPr>
        <w:t>5</w:t>
      </w:r>
    </w:p>
    <w:p w14:paraId="537AF3F8" w14:textId="45597EFB" w:rsidR="002C3AD5" w:rsidRPr="00661405" w:rsidRDefault="002C3AD5" w:rsidP="002C3AD5">
      <w:pPr>
        <w:spacing w:line="360" w:lineRule="auto"/>
        <w:ind w:left="-288"/>
        <w:rPr>
          <w:rFonts w:ascii="Georgia" w:hAnsi="Georgia"/>
          <w:sz w:val="20"/>
          <w:szCs w:val="20"/>
        </w:rPr>
      </w:pPr>
      <w:r w:rsidRPr="00661405">
        <w:rPr>
          <w:rFonts w:ascii="Georgia" w:hAnsi="Georgia"/>
          <w:sz w:val="20"/>
          <w:szCs w:val="20"/>
        </w:rPr>
        <w:t>•</w:t>
      </w:r>
      <w:r w:rsidRPr="00661405">
        <w:rPr>
          <w:rFonts w:ascii="Georgia" w:hAnsi="Georgia"/>
          <w:sz w:val="20"/>
          <w:szCs w:val="20"/>
        </w:rPr>
        <w:tab/>
        <w:t>PRICE = Current MSCI EAFE Index real price as of October 31, 202</w:t>
      </w:r>
      <w:r w:rsidR="00661405" w:rsidRPr="00661405">
        <w:rPr>
          <w:rFonts w:ascii="Georgia" w:hAnsi="Georgia"/>
          <w:sz w:val="20"/>
          <w:szCs w:val="20"/>
        </w:rPr>
        <w:t>5</w:t>
      </w:r>
    </w:p>
    <w:p w14:paraId="2EEE40AB" w14:textId="7ACC356C" w:rsidR="002C3AD5" w:rsidRDefault="00875A7C" w:rsidP="002C3AD5">
      <w:pPr>
        <w:spacing w:line="360" w:lineRule="auto"/>
        <w:ind w:left="-288"/>
        <w:rPr>
          <w:rFonts w:ascii="Georgia" w:hAnsi="Georgia"/>
          <w:sz w:val="20"/>
          <w:szCs w:val="20"/>
        </w:rPr>
      </w:pPr>
      <w:r>
        <w:rPr>
          <w:noProof/>
        </w:rPr>
        <w:drawing>
          <wp:anchor distT="0" distB="0" distL="114300" distR="114300" simplePos="0" relativeHeight="251645952" behindDoc="0" locked="0" layoutInCell="1" allowOverlap="1" wp14:anchorId="06D14410" wp14:editId="47AFA670">
            <wp:simplePos x="0" y="0"/>
            <wp:positionH relativeFrom="page">
              <wp:posOffset>1011528</wp:posOffset>
            </wp:positionH>
            <wp:positionV relativeFrom="paragraph">
              <wp:posOffset>219102</wp:posOffset>
            </wp:positionV>
            <wp:extent cx="5525770" cy="2703195"/>
            <wp:effectExtent l="0" t="0" r="0" b="1905"/>
            <wp:wrapTopAndBottom/>
            <wp:docPr id="574741763" name="Chart 1">
              <a:extLst xmlns:a="http://schemas.openxmlformats.org/drawingml/2006/main">
                <a:ext uri="{FF2B5EF4-FFF2-40B4-BE49-F238E27FC236}">
                  <a16:creationId xmlns:a16="http://schemas.microsoft.com/office/drawing/2014/main" id="{A92B7475-37D7-472E-94A2-20D1D9A7C9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2C3AD5" w:rsidRPr="00661405">
        <w:rPr>
          <w:rFonts w:ascii="Georgia" w:hAnsi="Georgia"/>
          <w:sz w:val="20"/>
          <w:szCs w:val="20"/>
        </w:rPr>
        <w:t>•</w:t>
      </w:r>
      <w:r w:rsidR="002C3AD5" w:rsidRPr="00661405">
        <w:rPr>
          <w:rFonts w:ascii="Georgia" w:hAnsi="Georgia"/>
          <w:sz w:val="20"/>
          <w:szCs w:val="20"/>
        </w:rPr>
        <w:tab/>
        <w:t>CPI = Inflation Forecast</w:t>
      </w:r>
    </w:p>
    <w:p w14:paraId="0C8B20A8" w14:textId="6B2EBB16" w:rsidR="000762A7" w:rsidRDefault="000762A7" w:rsidP="002C3AD5">
      <w:pPr>
        <w:spacing w:line="360" w:lineRule="auto"/>
        <w:ind w:left="-288"/>
        <w:rPr>
          <w:rFonts w:ascii="Georgia" w:hAnsi="Georgia"/>
          <w:sz w:val="20"/>
          <w:szCs w:val="20"/>
        </w:rPr>
      </w:pPr>
    </w:p>
    <w:p w14:paraId="2022E471" w14:textId="46B3A2E8" w:rsidR="00312065" w:rsidRPr="008E4560" w:rsidRDefault="002C3AD5" w:rsidP="002C3AD5">
      <w:pPr>
        <w:spacing w:line="360" w:lineRule="auto"/>
        <w:ind w:left="-288"/>
        <w:rPr>
          <w:rFonts w:ascii="Georgia" w:hAnsi="Georgia"/>
          <w:b/>
          <w:bCs/>
          <w:sz w:val="20"/>
          <w:szCs w:val="20"/>
        </w:rPr>
      </w:pPr>
      <w:r w:rsidRPr="008E4560">
        <w:rPr>
          <w:rFonts w:ascii="Georgia" w:hAnsi="Georgia"/>
          <w:b/>
          <w:bCs/>
          <w:sz w:val="20"/>
          <w:szCs w:val="20"/>
        </w:rPr>
        <w:t>10-Year Forecast of Annualized Geometric Return: 7.</w:t>
      </w:r>
      <w:r w:rsidR="00550588" w:rsidRPr="008E4560">
        <w:rPr>
          <w:rFonts w:ascii="Georgia" w:hAnsi="Georgia"/>
          <w:b/>
          <w:bCs/>
          <w:sz w:val="20"/>
          <w:szCs w:val="20"/>
        </w:rPr>
        <w:t>7</w:t>
      </w:r>
      <w:r w:rsidRPr="008E4560">
        <w:rPr>
          <w:rFonts w:ascii="Georgia" w:hAnsi="Georgia"/>
          <w:b/>
          <w:bCs/>
          <w:sz w:val="20"/>
          <w:szCs w:val="20"/>
        </w:rPr>
        <w:t>%</w:t>
      </w:r>
    </w:p>
    <w:p w14:paraId="79AA4A06" w14:textId="77777777" w:rsidR="00312065" w:rsidRDefault="00312065" w:rsidP="00370131">
      <w:pPr>
        <w:spacing w:line="360" w:lineRule="auto"/>
        <w:ind w:left="-288"/>
        <w:rPr>
          <w:rFonts w:ascii="Georgia" w:hAnsi="Georgia"/>
          <w:color w:val="EE0000"/>
          <w:sz w:val="20"/>
          <w:szCs w:val="20"/>
        </w:rPr>
      </w:pPr>
    </w:p>
    <w:p w14:paraId="57EE5A30" w14:textId="12E98D7F" w:rsidR="003C7281" w:rsidRPr="003C7281" w:rsidRDefault="001669D9" w:rsidP="003C7281">
      <w:pPr>
        <w:spacing w:line="360" w:lineRule="auto"/>
        <w:ind w:left="-288"/>
        <w:rPr>
          <w:rFonts w:ascii="Georgia" w:hAnsi="Georgia"/>
          <w:color w:val="EE0000"/>
          <w:sz w:val="20"/>
          <w:szCs w:val="20"/>
        </w:rPr>
      </w:pPr>
      <w:r>
        <w:rPr>
          <w:rFonts w:ascii="Georgia" w:hAnsi="Georgia"/>
          <w:b/>
          <w:bCs/>
          <w:color w:val="002855"/>
          <w:sz w:val="20"/>
          <w:szCs w:val="20"/>
        </w:rPr>
        <w:t xml:space="preserve">EMERGING MARKET </w:t>
      </w:r>
      <w:r w:rsidRPr="003B0E60">
        <w:rPr>
          <w:rFonts w:ascii="Georgia" w:hAnsi="Georgia"/>
          <w:b/>
          <w:bCs/>
          <w:color w:val="002855"/>
          <w:sz w:val="20"/>
          <w:szCs w:val="20"/>
        </w:rPr>
        <w:t>EQUITIES</w:t>
      </w:r>
      <w:r w:rsidRPr="004E721E">
        <w:rPr>
          <w:rFonts w:ascii="Georgia" w:hAnsi="Georgia"/>
          <w:b/>
          <w:bCs/>
          <w:color w:val="002855"/>
          <w:sz w:val="20"/>
          <w:szCs w:val="20"/>
        </w:rPr>
        <w:t>:</w:t>
      </w:r>
      <w:r w:rsidRPr="004E721E">
        <w:rPr>
          <w:rFonts w:ascii="Georgia" w:hAnsi="Georgia"/>
          <w:sz w:val="20"/>
          <w:szCs w:val="20"/>
        </w:rPr>
        <w:t xml:space="preserve"> </w:t>
      </w:r>
      <w:r w:rsidR="003C7281" w:rsidRPr="00C53F35">
        <w:rPr>
          <w:rFonts w:ascii="Georgia" w:hAnsi="Georgia"/>
          <w:sz w:val="20"/>
          <w:szCs w:val="20"/>
        </w:rPr>
        <w:t xml:space="preserve">The expected geometric return forecast for Emerging Markets Equities (unhedged MSCI Emerging Markets) is derived by applying the Cyclically-Adjusted Earnings Yield Method where return is a function of the 10-year average real earnings, current price and our 10-year inflation assumption (CPI). </w:t>
      </w:r>
    </w:p>
    <w:p w14:paraId="6E06B721" w14:textId="5D1697CC" w:rsidR="003C7281" w:rsidRPr="003C7281" w:rsidRDefault="003C7281" w:rsidP="003C7281">
      <w:pPr>
        <w:spacing w:line="360" w:lineRule="auto"/>
        <w:ind w:left="-288"/>
        <w:rPr>
          <w:rFonts w:ascii="Georgia" w:hAnsi="Georgia"/>
          <w:color w:val="EE0000"/>
          <w:sz w:val="20"/>
          <w:szCs w:val="20"/>
        </w:rPr>
      </w:pPr>
    </w:p>
    <w:p w14:paraId="12AC6913" w14:textId="11A068CA" w:rsidR="003C7281" w:rsidRPr="00C53F35" w:rsidRDefault="003C7281" w:rsidP="003C7281">
      <w:pPr>
        <w:spacing w:line="360" w:lineRule="auto"/>
        <w:ind w:left="-288"/>
        <w:rPr>
          <w:rFonts w:ascii="Georgia" w:hAnsi="Georgia"/>
          <w:sz w:val="20"/>
          <w:szCs w:val="20"/>
        </w:rPr>
      </w:pPr>
      <w:r w:rsidRPr="00C53F35">
        <w:rPr>
          <w:rFonts w:ascii="Georgia" w:hAnsi="Georgia"/>
          <w:sz w:val="20"/>
          <w:szCs w:val="20"/>
        </w:rPr>
        <w:t>Cyclically-Adjusted Earnings Yield Method: {[1 + (EARNINGS/PRICE)] * (1 + CPI)} - 1</w:t>
      </w:r>
    </w:p>
    <w:p w14:paraId="7B47A995" w14:textId="46F80EF9" w:rsidR="003C7281" w:rsidRPr="003C7281" w:rsidRDefault="003C7281" w:rsidP="003C7281">
      <w:pPr>
        <w:spacing w:line="360" w:lineRule="auto"/>
        <w:ind w:left="-288"/>
        <w:rPr>
          <w:rFonts w:ascii="Georgia" w:hAnsi="Georgia"/>
          <w:color w:val="EE0000"/>
          <w:sz w:val="20"/>
          <w:szCs w:val="20"/>
        </w:rPr>
      </w:pPr>
      <w:r w:rsidRPr="00C53F35">
        <w:rPr>
          <w:rFonts w:ascii="Georgia" w:hAnsi="Georgia"/>
          <w:sz w:val="20"/>
          <w:szCs w:val="20"/>
        </w:rPr>
        <w:t xml:space="preserve">10-Year </w:t>
      </w:r>
      <w:r w:rsidRPr="00D638F1">
        <w:rPr>
          <w:rFonts w:ascii="Georgia" w:hAnsi="Georgia"/>
          <w:sz w:val="20"/>
          <w:szCs w:val="20"/>
        </w:rPr>
        <w:t>Forecast (202</w:t>
      </w:r>
      <w:r w:rsidR="00C53F35" w:rsidRPr="00D638F1">
        <w:rPr>
          <w:rFonts w:ascii="Georgia" w:hAnsi="Georgia"/>
          <w:sz w:val="20"/>
          <w:szCs w:val="20"/>
        </w:rPr>
        <w:t>6</w:t>
      </w:r>
      <w:r w:rsidRPr="00D638F1">
        <w:rPr>
          <w:rFonts w:ascii="Georgia" w:hAnsi="Georgia"/>
          <w:sz w:val="20"/>
          <w:szCs w:val="20"/>
        </w:rPr>
        <w:t xml:space="preserve"> - 203</w:t>
      </w:r>
      <w:r w:rsidR="00C53F35" w:rsidRPr="00D638F1">
        <w:rPr>
          <w:rFonts w:ascii="Georgia" w:hAnsi="Georgia"/>
          <w:sz w:val="20"/>
          <w:szCs w:val="20"/>
        </w:rPr>
        <w:t>5</w:t>
      </w:r>
      <w:r w:rsidRPr="00D638F1">
        <w:rPr>
          <w:rFonts w:ascii="Georgia" w:hAnsi="Georgia"/>
          <w:sz w:val="20"/>
          <w:szCs w:val="20"/>
        </w:rPr>
        <w:t>): {[1 + (</w:t>
      </w:r>
      <w:r w:rsidR="00D638F1" w:rsidRPr="00D638F1">
        <w:rPr>
          <w:rFonts w:ascii="Georgia" w:hAnsi="Georgia"/>
          <w:sz w:val="20"/>
          <w:szCs w:val="20"/>
        </w:rPr>
        <w:t>85.39</w:t>
      </w:r>
      <w:r w:rsidRPr="00D638F1">
        <w:rPr>
          <w:rFonts w:ascii="Georgia" w:hAnsi="Georgia"/>
          <w:sz w:val="20"/>
          <w:szCs w:val="20"/>
        </w:rPr>
        <w:t xml:space="preserve"> / 1,</w:t>
      </w:r>
      <w:r w:rsidR="00D638F1" w:rsidRPr="00D638F1">
        <w:rPr>
          <w:rFonts w:ascii="Georgia" w:hAnsi="Georgia"/>
          <w:sz w:val="20"/>
          <w:szCs w:val="20"/>
        </w:rPr>
        <w:t>401.55</w:t>
      </w:r>
      <w:r w:rsidRPr="00D638F1">
        <w:rPr>
          <w:rFonts w:ascii="Georgia" w:hAnsi="Georgia"/>
          <w:sz w:val="20"/>
          <w:szCs w:val="20"/>
        </w:rPr>
        <w:t>)] * (1 + 2.3</w:t>
      </w:r>
      <w:r w:rsidR="00320AB1" w:rsidRPr="00D638F1">
        <w:rPr>
          <w:rFonts w:ascii="Georgia" w:hAnsi="Georgia"/>
          <w:sz w:val="20"/>
          <w:szCs w:val="20"/>
        </w:rPr>
        <w:t>0</w:t>
      </w:r>
      <w:r w:rsidRPr="00D638F1">
        <w:rPr>
          <w:rFonts w:ascii="Georgia" w:hAnsi="Georgia"/>
          <w:sz w:val="20"/>
          <w:szCs w:val="20"/>
        </w:rPr>
        <w:t>%)} - 1</w:t>
      </w:r>
    </w:p>
    <w:p w14:paraId="0741B55D" w14:textId="2166119F" w:rsidR="003C7281" w:rsidRPr="00E21705" w:rsidRDefault="003C7281" w:rsidP="003C7281">
      <w:pPr>
        <w:spacing w:line="360" w:lineRule="auto"/>
        <w:ind w:left="-288"/>
        <w:rPr>
          <w:rFonts w:ascii="Georgia" w:hAnsi="Georgia"/>
          <w:sz w:val="20"/>
          <w:szCs w:val="20"/>
        </w:rPr>
      </w:pPr>
      <w:r w:rsidRPr="00C53F35">
        <w:rPr>
          <w:rFonts w:ascii="Georgia" w:hAnsi="Georgia"/>
          <w:sz w:val="20"/>
          <w:szCs w:val="20"/>
        </w:rPr>
        <w:t xml:space="preserve">10-Year </w:t>
      </w:r>
      <w:r w:rsidRPr="00DA4E21">
        <w:rPr>
          <w:rFonts w:ascii="Georgia" w:hAnsi="Georgia"/>
          <w:sz w:val="20"/>
          <w:szCs w:val="20"/>
        </w:rPr>
        <w:t>Forecast (202</w:t>
      </w:r>
      <w:r w:rsidR="00C53F35" w:rsidRPr="00DA4E21">
        <w:rPr>
          <w:rFonts w:ascii="Georgia" w:hAnsi="Georgia"/>
          <w:sz w:val="20"/>
          <w:szCs w:val="20"/>
        </w:rPr>
        <w:t>6</w:t>
      </w:r>
      <w:r w:rsidRPr="00DA4E21">
        <w:rPr>
          <w:rFonts w:ascii="Georgia" w:hAnsi="Georgia"/>
          <w:sz w:val="20"/>
          <w:szCs w:val="20"/>
        </w:rPr>
        <w:t xml:space="preserve"> - </w:t>
      </w:r>
      <w:r w:rsidRPr="00E21705">
        <w:rPr>
          <w:rFonts w:ascii="Georgia" w:hAnsi="Georgia"/>
          <w:sz w:val="20"/>
          <w:szCs w:val="20"/>
        </w:rPr>
        <w:t>203</w:t>
      </w:r>
      <w:r w:rsidR="00C53F35" w:rsidRPr="00E21705">
        <w:rPr>
          <w:rFonts w:ascii="Georgia" w:hAnsi="Georgia"/>
          <w:sz w:val="20"/>
          <w:szCs w:val="20"/>
        </w:rPr>
        <w:t>5</w:t>
      </w:r>
      <w:r w:rsidRPr="00E21705">
        <w:rPr>
          <w:rFonts w:ascii="Georgia" w:hAnsi="Georgia"/>
          <w:sz w:val="20"/>
          <w:szCs w:val="20"/>
        </w:rPr>
        <w:t xml:space="preserve">): {(1 + </w:t>
      </w:r>
      <w:r w:rsidR="00DA4E21" w:rsidRPr="00E21705">
        <w:rPr>
          <w:rFonts w:ascii="Georgia" w:hAnsi="Georgia"/>
          <w:sz w:val="20"/>
          <w:szCs w:val="20"/>
        </w:rPr>
        <w:t>6.09</w:t>
      </w:r>
      <w:r w:rsidRPr="00E21705">
        <w:rPr>
          <w:rFonts w:ascii="Georgia" w:hAnsi="Georgia"/>
          <w:sz w:val="20"/>
          <w:szCs w:val="20"/>
        </w:rPr>
        <w:t>%) * (1 + 2.3</w:t>
      </w:r>
      <w:r w:rsidR="00320AB1" w:rsidRPr="00E21705">
        <w:rPr>
          <w:rFonts w:ascii="Georgia" w:hAnsi="Georgia"/>
          <w:sz w:val="20"/>
          <w:szCs w:val="20"/>
        </w:rPr>
        <w:t>0</w:t>
      </w:r>
      <w:r w:rsidRPr="00E21705">
        <w:rPr>
          <w:rFonts w:ascii="Georgia" w:hAnsi="Georgia"/>
          <w:sz w:val="20"/>
          <w:szCs w:val="20"/>
        </w:rPr>
        <w:t xml:space="preserve">%)} - 1 = </w:t>
      </w:r>
      <w:r w:rsidR="00E21705" w:rsidRPr="00E21705">
        <w:rPr>
          <w:rFonts w:ascii="Georgia" w:hAnsi="Georgia"/>
          <w:sz w:val="20"/>
          <w:szCs w:val="20"/>
        </w:rPr>
        <w:t>8.53</w:t>
      </w:r>
      <w:r w:rsidRPr="00E21705">
        <w:rPr>
          <w:rFonts w:ascii="Georgia" w:hAnsi="Georgia"/>
          <w:sz w:val="20"/>
          <w:szCs w:val="20"/>
        </w:rPr>
        <w:t>%</w:t>
      </w:r>
    </w:p>
    <w:p w14:paraId="7ED76A8D" w14:textId="19B1B755" w:rsidR="003C7281" w:rsidRPr="00E21705" w:rsidRDefault="003C7281" w:rsidP="003C7281">
      <w:pPr>
        <w:spacing w:line="360" w:lineRule="auto"/>
        <w:ind w:left="-288"/>
        <w:rPr>
          <w:rFonts w:ascii="Georgia" w:hAnsi="Georgia"/>
          <w:sz w:val="20"/>
          <w:szCs w:val="20"/>
        </w:rPr>
      </w:pPr>
      <w:r w:rsidRPr="00E21705">
        <w:rPr>
          <w:rFonts w:ascii="Georgia" w:hAnsi="Georgia"/>
          <w:sz w:val="20"/>
          <w:szCs w:val="20"/>
        </w:rPr>
        <w:t>10-Year Forecast (202</w:t>
      </w:r>
      <w:r w:rsidR="00C53F35" w:rsidRPr="00E21705">
        <w:rPr>
          <w:rFonts w:ascii="Georgia" w:hAnsi="Georgia"/>
          <w:sz w:val="20"/>
          <w:szCs w:val="20"/>
        </w:rPr>
        <w:t>6</w:t>
      </w:r>
      <w:r w:rsidRPr="00E21705">
        <w:rPr>
          <w:rFonts w:ascii="Georgia" w:hAnsi="Georgia"/>
          <w:sz w:val="20"/>
          <w:szCs w:val="20"/>
        </w:rPr>
        <w:t xml:space="preserve"> - 203</w:t>
      </w:r>
      <w:r w:rsidR="00C53F35" w:rsidRPr="00E21705">
        <w:rPr>
          <w:rFonts w:ascii="Georgia" w:hAnsi="Georgia"/>
          <w:sz w:val="20"/>
          <w:szCs w:val="20"/>
        </w:rPr>
        <w:t>5</w:t>
      </w:r>
      <w:r w:rsidRPr="00E21705">
        <w:rPr>
          <w:rFonts w:ascii="Georgia" w:hAnsi="Georgia"/>
          <w:sz w:val="20"/>
          <w:szCs w:val="20"/>
        </w:rPr>
        <w:t xml:space="preserve">): </w:t>
      </w:r>
      <w:r w:rsidR="00E21705" w:rsidRPr="00E21705">
        <w:rPr>
          <w:rFonts w:ascii="Georgia" w:hAnsi="Georgia"/>
          <w:sz w:val="20"/>
          <w:szCs w:val="20"/>
        </w:rPr>
        <w:t>8.53</w:t>
      </w:r>
      <w:r w:rsidRPr="00E21705">
        <w:rPr>
          <w:rFonts w:ascii="Georgia" w:hAnsi="Georgia"/>
          <w:sz w:val="20"/>
          <w:szCs w:val="20"/>
        </w:rPr>
        <w:t>%</w:t>
      </w:r>
    </w:p>
    <w:p w14:paraId="291FA526" w14:textId="602A8A79" w:rsidR="003C7281" w:rsidRPr="00875A7C" w:rsidRDefault="00875A7C" w:rsidP="003C7281">
      <w:pPr>
        <w:spacing w:line="360" w:lineRule="auto"/>
        <w:ind w:left="-288"/>
        <w:rPr>
          <w:rFonts w:ascii="Georgia" w:hAnsi="Georgia"/>
          <w:i/>
          <w:iCs/>
          <w:sz w:val="16"/>
          <w:szCs w:val="16"/>
        </w:rPr>
      </w:pPr>
      <w:r w:rsidRPr="00875A7C">
        <w:rPr>
          <w:rFonts w:ascii="Georgia" w:hAnsi="Georgia"/>
          <w:i/>
          <w:iCs/>
          <w:sz w:val="16"/>
          <w:szCs w:val="16"/>
        </w:rPr>
        <w:t>Use of Indices and Benchmark Return Indices cannot be invested in directly. Index performance is reported gross of fees and expenses and assumes the reinvest dividends and capital gains. Past performance does not indicate future performance and there is a possibility of a loss. See disclosure page for indices representing each asset class.</w:t>
      </w:r>
    </w:p>
    <w:p w14:paraId="3E0F7B72" w14:textId="4FD87BEC" w:rsidR="003C7281" w:rsidRPr="00C53F35" w:rsidRDefault="003C7281" w:rsidP="003C7281">
      <w:pPr>
        <w:spacing w:line="360" w:lineRule="auto"/>
        <w:ind w:left="-288"/>
        <w:rPr>
          <w:rFonts w:ascii="Georgia" w:hAnsi="Georgia"/>
          <w:sz w:val="20"/>
          <w:szCs w:val="20"/>
        </w:rPr>
      </w:pPr>
      <w:r w:rsidRPr="00C53F35">
        <w:rPr>
          <w:rFonts w:ascii="Georgia" w:hAnsi="Georgia"/>
          <w:sz w:val="20"/>
          <w:szCs w:val="20"/>
        </w:rPr>
        <w:lastRenderedPageBreak/>
        <w:t>•</w:t>
      </w:r>
      <w:r w:rsidRPr="00C53F35">
        <w:rPr>
          <w:rFonts w:ascii="Georgia" w:hAnsi="Georgia"/>
          <w:sz w:val="20"/>
          <w:szCs w:val="20"/>
        </w:rPr>
        <w:tab/>
        <w:t>EARNINGS = 10-year average real earnings of the MSCI Emerging Markets Index as of October 31, 202</w:t>
      </w:r>
      <w:r w:rsidR="00C53F35" w:rsidRPr="00C53F35">
        <w:rPr>
          <w:rFonts w:ascii="Georgia" w:hAnsi="Georgia"/>
          <w:sz w:val="20"/>
          <w:szCs w:val="20"/>
        </w:rPr>
        <w:t>5</w:t>
      </w:r>
    </w:p>
    <w:p w14:paraId="72FF99AE" w14:textId="02B4F0C3" w:rsidR="003C7281" w:rsidRPr="00C53F35" w:rsidRDefault="003C7281" w:rsidP="003C7281">
      <w:pPr>
        <w:spacing w:line="360" w:lineRule="auto"/>
        <w:ind w:left="-288"/>
        <w:rPr>
          <w:rFonts w:ascii="Georgia" w:hAnsi="Georgia"/>
          <w:sz w:val="20"/>
          <w:szCs w:val="20"/>
        </w:rPr>
      </w:pPr>
      <w:r w:rsidRPr="00C53F35">
        <w:rPr>
          <w:rFonts w:ascii="Georgia" w:hAnsi="Georgia"/>
          <w:sz w:val="20"/>
          <w:szCs w:val="20"/>
        </w:rPr>
        <w:t>•</w:t>
      </w:r>
      <w:r w:rsidRPr="00C53F35">
        <w:rPr>
          <w:rFonts w:ascii="Georgia" w:hAnsi="Georgia"/>
          <w:sz w:val="20"/>
          <w:szCs w:val="20"/>
        </w:rPr>
        <w:tab/>
        <w:t>PRICE = Current MSCI Emerging Markets Index real price as of October 31, 202</w:t>
      </w:r>
      <w:r w:rsidR="00C53F35" w:rsidRPr="00C53F35">
        <w:rPr>
          <w:rFonts w:ascii="Georgia" w:hAnsi="Georgia"/>
          <w:sz w:val="20"/>
          <w:szCs w:val="20"/>
        </w:rPr>
        <w:t>5</w:t>
      </w:r>
    </w:p>
    <w:p w14:paraId="52B79D2C" w14:textId="64218C8F" w:rsidR="003C7281" w:rsidRPr="00C53F35" w:rsidRDefault="00875A7C" w:rsidP="003C7281">
      <w:pPr>
        <w:spacing w:line="360" w:lineRule="auto"/>
        <w:ind w:left="-288"/>
        <w:rPr>
          <w:rFonts w:ascii="Georgia" w:hAnsi="Georgia"/>
          <w:sz w:val="20"/>
          <w:szCs w:val="20"/>
        </w:rPr>
      </w:pPr>
      <w:r>
        <w:rPr>
          <w:noProof/>
        </w:rPr>
        <w:drawing>
          <wp:anchor distT="0" distB="0" distL="114300" distR="114300" simplePos="0" relativeHeight="251667456" behindDoc="0" locked="0" layoutInCell="1" allowOverlap="1" wp14:anchorId="107EBD5F" wp14:editId="761A40A2">
            <wp:simplePos x="0" y="0"/>
            <wp:positionH relativeFrom="margin">
              <wp:align>left</wp:align>
            </wp:positionH>
            <wp:positionV relativeFrom="paragraph">
              <wp:posOffset>265458</wp:posOffset>
            </wp:positionV>
            <wp:extent cx="5733415" cy="2809875"/>
            <wp:effectExtent l="0" t="0" r="635" b="9525"/>
            <wp:wrapTopAndBottom/>
            <wp:docPr id="1198060618" name="Chart 1">
              <a:extLst xmlns:a="http://schemas.openxmlformats.org/drawingml/2006/main">
                <a:ext uri="{FF2B5EF4-FFF2-40B4-BE49-F238E27FC236}">
                  <a16:creationId xmlns:a16="http://schemas.microsoft.com/office/drawing/2014/main" id="{84CA4374-3471-46BC-8AFD-56CE20AF09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r w:rsidR="003C7281" w:rsidRPr="00C53F35">
        <w:rPr>
          <w:rFonts w:ascii="Georgia" w:hAnsi="Georgia"/>
          <w:sz w:val="20"/>
          <w:szCs w:val="20"/>
        </w:rPr>
        <w:t>•</w:t>
      </w:r>
      <w:r w:rsidR="003C7281" w:rsidRPr="00C53F35">
        <w:rPr>
          <w:rFonts w:ascii="Georgia" w:hAnsi="Georgia"/>
          <w:sz w:val="20"/>
          <w:szCs w:val="20"/>
        </w:rPr>
        <w:tab/>
        <w:t>CPI = Inflation Forecast</w:t>
      </w:r>
    </w:p>
    <w:p w14:paraId="1F3A230A" w14:textId="48C96294" w:rsidR="00467236" w:rsidRDefault="00467236" w:rsidP="003C7281">
      <w:pPr>
        <w:spacing w:line="360" w:lineRule="auto"/>
        <w:ind w:left="-288"/>
        <w:rPr>
          <w:rFonts w:ascii="Georgia" w:hAnsi="Georgia"/>
          <w:sz w:val="20"/>
          <w:szCs w:val="20"/>
        </w:rPr>
      </w:pPr>
    </w:p>
    <w:p w14:paraId="13752FD9" w14:textId="6F5CB650" w:rsidR="00312065" w:rsidRPr="00467236" w:rsidRDefault="003C7281" w:rsidP="003C7281">
      <w:pPr>
        <w:spacing w:line="360" w:lineRule="auto"/>
        <w:ind w:left="-288"/>
        <w:rPr>
          <w:rFonts w:ascii="Georgia" w:hAnsi="Georgia"/>
          <w:b/>
          <w:bCs/>
          <w:sz w:val="20"/>
          <w:szCs w:val="20"/>
        </w:rPr>
      </w:pPr>
      <w:r w:rsidRPr="00467236">
        <w:rPr>
          <w:rFonts w:ascii="Georgia" w:hAnsi="Georgia"/>
          <w:b/>
          <w:bCs/>
          <w:sz w:val="20"/>
          <w:szCs w:val="20"/>
        </w:rPr>
        <w:t>10-Year Forecast of Annualized Geometric Return: 8.</w:t>
      </w:r>
      <w:r w:rsidR="00E21705" w:rsidRPr="00467236">
        <w:rPr>
          <w:rFonts w:ascii="Georgia" w:hAnsi="Georgia"/>
          <w:b/>
          <w:bCs/>
          <w:sz w:val="20"/>
          <w:szCs w:val="20"/>
        </w:rPr>
        <w:t>5</w:t>
      </w:r>
      <w:r w:rsidRPr="00467236">
        <w:rPr>
          <w:rFonts w:ascii="Georgia" w:hAnsi="Georgia"/>
          <w:b/>
          <w:bCs/>
          <w:sz w:val="20"/>
          <w:szCs w:val="20"/>
        </w:rPr>
        <w:t>%</w:t>
      </w:r>
    </w:p>
    <w:p w14:paraId="201DBF22" w14:textId="4E5DF739" w:rsidR="001F64E8" w:rsidRDefault="001F64E8" w:rsidP="00370131">
      <w:pPr>
        <w:spacing w:line="360" w:lineRule="auto"/>
        <w:ind w:left="-288"/>
        <w:rPr>
          <w:rFonts w:ascii="Georgia" w:hAnsi="Georgia"/>
          <w:color w:val="EE0000"/>
          <w:sz w:val="20"/>
          <w:szCs w:val="20"/>
        </w:rPr>
      </w:pPr>
    </w:p>
    <w:p w14:paraId="35D80FA0" w14:textId="7AFABB1E" w:rsidR="00AB161E" w:rsidRPr="00936C7A" w:rsidRDefault="009D199B" w:rsidP="00AB161E">
      <w:pPr>
        <w:spacing w:line="360" w:lineRule="auto"/>
        <w:ind w:left="-288"/>
        <w:rPr>
          <w:rFonts w:ascii="Georgia" w:hAnsi="Georgia"/>
          <w:sz w:val="20"/>
          <w:szCs w:val="20"/>
        </w:rPr>
      </w:pPr>
      <w:r>
        <w:rPr>
          <w:rFonts w:ascii="Georgia" w:hAnsi="Georgia"/>
          <w:b/>
          <w:bCs/>
          <w:color w:val="002855"/>
          <w:sz w:val="20"/>
          <w:szCs w:val="20"/>
        </w:rPr>
        <w:t xml:space="preserve">GLOBAL EX-U.S. </w:t>
      </w:r>
      <w:r w:rsidRPr="003B0E60">
        <w:rPr>
          <w:rFonts w:ascii="Georgia" w:hAnsi="Georgia"/>
          <w:b/>
          <w:bCs/>
          <w:color w:val="002855"/>
          <w:sz w:val="20"/>
          <w:szCs w:val="20"/>
        </w:rPr>
        <w:t>EQUITIES</w:t>
      </w:r>
      <w:r w:rsidRPr="004E721E">
        <w:rPr>
          <w:rFonts w:ascii="Georgia" w:hAnsi="Georgia"/>
          <w:b/>
          <w:bCs/>
          <w:color w:val="002855"/>
          <w:sz w:val="20"/>
          <w:szCs w:val="20"/>
        </w:rPr>
        <w:t>:</w:t>
      </w:r>
      <w:r w:rsidRPr="004E721E">
        <w:rPr>
          <w:rFonts w:ascii="Georgia" w:hAnsi="Georgia"/>
          <w:sz w:val="20"/>
          <w:szCs w:val="20"/>
        </w:rPr>
        <w:t xml:space="preserve"> </w:t>
      </w:r>
      <w:r w:rsidR="00AB161E" w:rsidRPr="00936C7A">
        <w:rPr>
          <w:rFonts w:ascii="Georgia" w:hAnsi="Georgia"/>
          <w:sz w:val="20"/>
          <w:szCs w:val="20"/>
        </w:rPr>
        <w:t>Using relative market capitalization weights</w:t>
      </w:r>
      <w:r w:rsidR="001F542F">
        <w:rPr>
          <w:rStyle w:val="FootnoteReference"/>
          <w:rFonts w:ascii="Georgia" w:hAnsi="Georgia"/>
          <w:sz w:val="20"/>
          <w:szCs w:val="20"/>
        </w:rPr>
        <w:footnoteReference w:id="9"/>
      </w:r>
      <w:r w:rsidR="00AB161E" w:rsidRPr="00936C7A">
        <w:rPr>
          <w:rFonts w:ascii="Georgia" w:hAnsi="Georgia"/>
          <w:sz w:val="20"/>
          <w:szCs w:val="20"/>
        </w:rPr>
        <w:t xml:space="preserve"> (excluding the U.S.), historical correlation, volatility and forecasted expected returns for Foreign Developed and Emerging Markets Equity, our expected geometric return forecast for Global ex-U.S. is </w:t>
      </w:r>
      <w:r w:rsidR="00936C7A" w:rsidRPr="00936C7A">
        <w:rPr>
          <w:rFonts w:ascii="Georgia" w:hAnsi="Georgia"/>
          <w:sz w:val="20"/>
          <w:szCs w:val="20"/>
        </w:rPr>
        <w:t>8.27</w:t>
      </w:r>
      <w:r w:rsidR="00AB161E" w:rsidRPr="00936C7A">
        <w:rPr>
          <w:rFonts w:ascii="Georgia" w:hAnsi="Georgia"/>
          <w:sz w:val="20"/>
          <w:szCs w:val="20"/>
        </w:rPr>
        <w:t>%.</w:t>
      </w:r>
    </w:p>
    <w:p w14:paraId="43DB4469" w14:textId="277D3D99" w:rsidR="001F64E8" w:rsidRPr="00936C7A" w:rsidRDefault="00AB161E" w:rsidP="00AB161E">
      <w:pPr>
        <w:spacing w:line="360" w:lineRule="auto"/>
        <w:ind w:left="-288"/>
        <w:rPr>
          <w:rFonts w:ascii="Georgia" w:hAnsi="Georgia"/>
          <w:b/>
          <w:bCs/>
          <w:sz w:val="20"/>
          <w:szCs w:val="20"/>
        </w:rPr>
      </w:pPr>
      <w:r w:rsidRPr="00936C7A">
        <w:rPr>
          <w:rFonts w:ascii="Georgia" w:hAnsi="Georgia"/>
          <w:b/>
          <w:bCs/>
          <w:sz w:val="20"/>
          <w:szCs w:val="20"/>
        </w:rPr>
        <w:t xml:space="preserve">10-Year Forecast of Annualized Geometric Return: </w:t>
      </w:r>
      <w:r w:rsidR="00936C7A" w:rsidRPr="00936C7A">
        <w:rPr>
          <w:rFonts w:ascii="Georgia" w:hAnsi="Georgia"/>
          <w:b/>
          <w:bCs/>
          <w:sz w:val="20"/>
          <w:szCs w:val="20"/>
        </w:rPr>
        <w:t>8.3</w:t>
      </w:r>
      <w:r w:rsidRPr="00936C7A">
        <w:rPr>
          <w:rFonts w:ascii="Georgia" w:hAnsi="Georgia"/>
          <w:b/>
          <w:bCs/>
          <w:sz w:val="20"/>
          <w:szCs w:val="20"/>
        </w:rPr>
        <w:t>%</w:t>
      </w:r>
    </w:p>
    <w:p w14:paraId="17B5D2B8" w14:textId="6E808A97" w:rsidR="001F64E8" w:rsidRDefault="001F64E8" w:rsidP="00370131">
      <w:pPr>
        <w:spacing w:line="360" w:lineRule="auto"/>
        <w:ind w:left="-288"/>
        <w:rPr>
          <w:rFonts w:ascii="Georgia" w:hAnsi="Georgia"/>
          <w:color w:val="EE0000"/>
          <w:sz w:val="20"/>
          <w:szCs w:val="20"/>
        </w:rPr>
      </w:pPr>
    </w:p>
    <w:p w14:paraId="1D38ACE4" w14:textId="38DA2D23" w:rsidR="002F60EF" w:rsidRPr="00936C7A" w:rsidRDefault="009D199B" w:rsidP="002F60EF">
      <w:pPr>
        <w:spacing w:line="360" w:lineRule="auto"/>
        <w:ind w:left="-288"/>
        <w:rPr>
          <w:rFonts w:ascii="Georgia" w:hAnsi="Georgia"/>
          <w:sz w:val="20"/>
          <w:szCs w:val="20"/>
        </w:rPr>
      </w:pPr>
      <w:r>
        <w:rPr>
          <w:rFonts w:ascii="Georgia" w:hAnsi="Georgia"/>
          <w:b/>
          <w:bCs/>
          <w:color w:val="002855"/>
          <w:sz w:val="20"/>
          <w:szCs w:val="20"/>
        </w:rPr>
        <w:t xml:space="preserve">GLOBAL </w:t>
      </w:r>
      <w:r w:rsidRPr="003B0E60">
        <w:rPr>
          <w:rFonts w:ascii="Georgia" w:hAnsi="Georgia"/>
          <w:b/>
          <w:bCs/>
          <w:color w:val="002855"/>
          <w:sz w:val="20"/>
          <w:szCs w:val="20"/>
        </w:rPr>
        <w:t>EQUITIES</w:t>
      </w:r>
      <w:r w:rsidRPr="004E721E">
        <w:rPr>
          <w:rFonts w:ascii="Georgia" w:hAnsi="Georgia"/>
          <w:b/>
          <w:bCs/>
          <w:color w:val="002855"/>
          <w:sz w:val="20"/>
          <w:szCs w:val="20"/>
        </w:rPr>
        <w:t>:</w:t>
      </w:r>
      <w:r w:rsidRPr="004E721E">
        <w:rPr>
          <w:rFonts w:ascii="Georgia" w:hAnsi="Georgia"/>
          <w:sz w:val="20"/>
          <w:szCs w:val="20"/>
        </w:rPr>
        <w:t xml:space="preserve"> </w:t>
      </w:r>
      <w:r w:rsidR="002F60EF" w:rsidRPr="00936C7A">
        <w:rPr>
          <w:rFonts w:ascii="Georgia" w:hAnsi="Georgia"/>
          <w:sz w:val="20"/>
          <w:szCs w:val="20"/>
        </w:rPr>
        <w:t>Using relative market capitalization weights</w:t>
      </w:r>
      <w:r w:rsidR="00261956">
        <w:rPr>
          <w:rStyle w:val="FootnoteReference"/>
          <w:rFonts w:ascii="Georgia" w:hAnsi="Georgia"/>
          <w:sz w:val="20"/>
          <w:szCs w:val="20"/>
        </w:rPr>
        <w:footnoteReference w:id="10"/>
      </w:r>
      <w:r w:rsidR="002F60EF" w:rsidRPr="00936C7A">
        <w:rPr>
          <w:rFonts w:ascii="Georgia" w:hAnsi="Georgia"/>
          <w:sz w:val="20"/>
          <w:szCs w:val="20"/>
        </w:rPr>
        <w:t>, correlation, volatility and forecasted expected returns for U.S. All Cap, Foreign Developed and Emerging Markets Equity, our expected geometric return forecast for Global is 6.</w:t>
      </w:r>
      <w:r w:rsidR="00936C7A" w:rsidRPr="00936C7A">
        <w:rPr>
          <w:rFonts w:ascii="Georgia" w:hAnsi="Georgia"/>
          <w:sz w:val="20"/>
          <w:szCs w:val="20"/>
        </w:rPr>
        <w:t>46</w:t>
      </w:r>
      <w:r w:rsidR="002F60EF" w:rsidRPr="00936C7A">
        <w:rPr>
          <w:rFonts w:ascii="Georgia" w:hAnsi="Georgia"/>
          <w:sz w:val="20"/>
          <w:szCs w:val="20"/>
        </w:rPr>
        <w:t>%.</w:t>
      </w:r>
    </w:p>
    <w:p w14:paraId="01AA9A83" w14:textId="2BB6156F" w:rsidR="001F64E8" w:rsidRPr="00936C7A" w:rsidRDefault="002F60EF" w:rsidP="002F60EF">
      <w:pPr>
        <w:spacing w:line="360" w:lineRule="auto"/>
        <w:ind w:left="-288"/>
        <w:rPr>
          <w:rFonts w:ascii="Georgia" w:hAnsi="Georgia"/>
          <w:b/>
          <w:bCs/>
          <w:sz w:val="20"/>
          <w:szCs w:val="20"/>
        </w:rPr>
      </w:pPr>
      <w:r w:rsidRPr="00936C7A">
        <w:rPr>
          <w:rFonts w:ascii="Georgia" w:hAnsi="Georgia"/>
          <w:b/>
          <w:bCs/>
          <w:sz w:val="20"/>
          <w:szCs w:val="20"/>
        </w:rPr>
        <w:t>10-Year Forecast of Annualized Geometric Return: 6.</w:t>
      </w:r>
      <w:r w:rsidR="00936C7A" w:rsidRPr="00936C7A">
        <w:rPr>
          <w:rFonts w:ascii="Georgia" w:hAnsi="Georgia"/>
          <w:b/>
          <w:bCs/>
          <w:sz w:val="20"/>
          <w:szCs w:val="20"/>
        </w:rPr>
        <w:t>5</w:t>
      </w:r>
      <w:r w:rsidRPr="00936C7A">
        <w:rPr>
          <w:rFonts w:ascii="Georgia" w:hAnsi="Georgia"/>
          <w:b/>
          <w:bCs/>
          <w:sz w:val="20"/>
          <w:szCs w:val="20"/>
        </w:rPr>
        <w:t>%</w:t>
      </w:r>
    </w:p>
    <w:p w14:paraId="02BD1D35" w14:textId="7525B1C1" w:rsidR="002F60EF" w:rsidRDefault="002F60EF" w:rsidP="002F60EF">
      <w:pPr>
        <w:spacing w:line="360" w:lineRule="auto"/>
        <w:ind w:left="-288"/>
        <w:rPr>
          <w:rFonts w:ascii="Georgia" w:hAnsi="Georgia"/>
          <w:color w:val="EE0000"/>
          <w:sz w:val="20"/>
          <w:szCs w:val="20"/>
        </w:rPr>
      </w:pPr>
    </w:p>
    <w:p w14:paraId="58BCFE8D" w14:textId="272BAD3C" w:rsidR="005865AC" w:rsidRPr="009745D8" w:rsidRDefault="005865AC" w:rsidP="005865AC">
      <w:pPr>
        <w:spacing w:line="360" w:lineRule="auto"/>
        <w:ind w:left="-288"/>
        <w:rPr>
          <w:rFonts w:ascii="Georgia" w:hAnsi="Georgia"/>
          <w:sz w:val="20"/>
          <w:szCs w:val="20"/>
        </w:rPr>
      </w:pPr>
      <w:r>
        <w:rPr>
          <w:rFonts w:ascii="Georgia" w:hAnsi="Georgia"/>
          <w:b/>
          <w:bCs/>
          <w:color w:val="002855"/>
          <w:sz w:val="20"/>
          <w:szCs w:val="20"/>
        </w:rPr>
        <w:t>PUBLIC REAL ESTATE (REITs)</w:t>
      </w:r>
      <w:r w:rsidR="002F60EF" w:rsidRPr="004E721E">
        <w:rPr>
          <w:rFonts w:ascii="Georgia" w:hAnsi="Georgia"/>
          <w:b/>
          <w:bCs/>
          <w:color w:val="002855"/>
          <w:sz w:val="20"/>
          <w:szCs w:val="20"/>
        </w:rPr>
        <w:t>:</w:t>
      </w:r>
      <w:r w:rsidR="002F60EF" w:rsidRPr="004E721E">
        <w:rPr>
          <w:rFonts w:ascii="Georgia" w:hAnsi="Georgia"/>
          <w:sz w:val="20"/>
          <w:szCs w:val="20"/>
        </w:rPr>
        <w:t xml:space="preserve"> </w:t>
      </w:r>
      <w:r w:rsidRPr="00EE5375">
        <w:rPr>
          <w:rFonts w:ascii="Georgia" w:hAnsi="Georgia"/>
          <w:sz w:val="20"/>
          <w:szCs w:val="20"/>
        </w:rPr>
        <w:t>From 197</w:t>
      </w:r>
      <w:r w:rsidR="002A3313">
        <w:rPr>
          <w:rFonts w:ascii="Georgia" w:hAnsi="Georgia"/>
          <w:sz w:val="20"/>
          <w:szCs w:val="20"/>
        </w:rPr>
        <w:t>2</w:t>
      </w:r>
      <w:r w:rsidRPr="00EE5375">
        <w:rPr>
          <w:rFonts w:ascii="Georgia" w:hAnsi="Georgia"/>
          <w:sz w:val="20"/>
          <w:szCs w:val="20"/>
        </w:rPr>
        <w:t xml:space="preserve">-2025, the FTSE NAREIT All Equity REITs Total Return Index had a total annualized return of </w:t>
      </w:r>
      <w:r w:rsidR="00563ADB" w:rsidRPr="00EE5375">
        <w:rPr>
          <w:rFonts w:ascii="Georgia" w:hAnsi="Georgia"/>
          <w:sz w:val="20"/>
          <w:szCs w:val="20"/>
        </w:rPr>
        <w:t>10.</w:t>
      </w:r>
      <w:r w:rsidR="00FD18CD" w:rsidRPr="00EE5375">
        <w:rPr>
          <w:rFonts w:ascii="Georgia" w:hAnsi="Georgia"/>
          <w:sz w:val="20"/>
          <w:szCs w:val="20"/>
        </w:rPr>
        <w:t>84</w:t>
      </w:r>
      <w:r w:rsidRPr="000C1DDB">
        <w:rPr>
          <w:rFonts w:ascii="Georgia" w:hAnsi="Georgia"/>
          <w:sz w:val="20"/>
          <w:szCs w:val="20"/>
        </w:rPr>
        <w:t xml:space="preserve">%. The </w:t>
      </w:r>
      <w:r w:rsidRPr="009B7758">
        <w:rPr>
          <w:rFonts w:ascii="Georgia" w:hAnsi="Georgia"/>
          <w:sz w:val="20"/>
          <w:szCs w:val="20"/>
        </w:rPr>
        <w:t xml:space="preserve">price component of return was </w:t>
      </w:r>
      <w:r w:rsidR="006074C4" w:rsidRPr="009B7758">
        <w:rPr>
          <w:rFonts w:ascii="Georgia" w:hAnsi="Georgia"/>
          <w:sz w:val="20"/>
          <w:szCs w:val="20"/>
        </w:rPr>
        <w:t>3.83</w:t>
      </w:r>
      <w:r w:rsidRPr="009B7758">
        <w:rPr>
          <w:rFonts w:ascii="Georgia" w:hAnsi="Georgia"/>
          <w:sz w:val="20"/>
          <w:szCs w:val="20"/>
        </w:rPr>
        <w:t xml:space="preserve">% with </w:t>
      </w:r>
      <w:r w:rsidR="000C1DDB" w:rsidRPr="009B7758">
        <w:rPr>
          <w:rFonts w:ascii="Georgia" w:hAnsi="Georgia"/>
          <w:sz w:val="20"/>
          <w:szCs w:val="20"/>
        </w:rPr>
        <w:t>0.82</w:t>
      </w:r>
      <w:r w:rsidRPr="009B7758">
        <w:rPr>
          <w:rFonts w:ascii="Georgia" w:hAnsi="Georgia"/>
          <w:sz w:val="20"/>
          <w:szCs w:val="20"/>
        </w:rPr>
        <w:t xml:space="preserve">% (annualized) coming from yield compression (as the dividend yield fell from 6.13% in 1972 to </w:t>
      </w:r>
      <w:r w:rsidR="00AB3E3D" w:rsidRPr="009B7758">
        <w:rPr>
          <w:rFonts w:ascii="Georgia" w:hAnsi="Georgia"/>
          <w:sz w:val="20"/>
          <w:szCs w:val="20"/>
        </w:rPr>
        <w:t>4.00</w:t>
      </w:r>
      <w:r w:rsidRPr="009B7758">
        <w:rPr>
          <w:rFonts w:ascii="Georgia" w:hAnsi="Georgia"/>
          <w:sz w:val="20"/>
          <w:szCs w:val="20"/>
        </w:rPr>
        <w:t>% in 202</w:t>
      </w:r>
      <w:r w:rsidR="00AB3E3D" w:rsidRPr="009B7758">
        <w:rPr>
          <w:rFonts w:ascii="Georgia" w:hAnsi="Georgia"/>
          <w:sz w:val="20"/>
          <w:szCs w:val="20"/>
        </w:rPr>
        <w:t>5</w:t>
      </w:r>
      <w:r w:rsidRPr="009B7758">
        <w:rPr>
          <w:rFonts w:ascii="Georgia" w:hAnsi="Georgia"/>
          <w:sz w:val="20"/>
          <w:szCs w:val="20"/>
        </w:rPr>
        <w:t xml:space="preserve">). CPI averaged </w:t>
      </w:r>
      <w:r w:rsidRPr="009B7758">
        <w:rPr>
          <w:rFonts w:ascii="Georgia" w:hAnsi="Georgia"/>
          <w:sz w:val="20"/>
          <w:szCs w:val="20"/>
        </w:rPr>
        <w:lastRenderedPageBreak/>
        <w:t>3.</w:t>
      </w:r>
      <w:r w:rsidR="00B7057A" w:rsidRPr="009B7758">
        <w:rPr>
          <w:rFonts w:ascii="Georgia" w:hAnsi="Georgia"/>
          <w:sz w:val="20"/>
          <w:szCs w:val="20"/>
        </w:rPr>
        <w:t>94</w:t>
      </w:r>
      <w:r w:rsidRPr="009B7758">
        <w:rPr>
          <w:rFonts w:ascii="Georgia" w:hAnsi="Georgia"/>
          <w:sz w:val="20"/>
          <w:szCs w:val="20"/>
        </w:rPr>
        <w:t>% annually, so real price return (excluding yield compression) was -0.</w:t>
      </w:r>
      <w:r w:rsidR="00B7057A" w:rsidRPr="009B7758">
        <w:rPr>
          <w:rFonts w:ascii="Georgia" w:hAnsi="Georgia"/>
          <w:sz w:val="20"/>
          <w:szCs w:val="20"/>
        </w:rPr>
        <w:t>9</w:t>
      </w:r>
      <w:r w:rsidRPr="009B7758">
        <w:rPr>
          <w:rFonts w:ascii="Georgia" w:hAnsi="Georgia"/>
          <w:sz w:val="20"/>
          <w:szCs w:val="20"/>
        </w:rPr>
        <w:t>3% annually. At 7.0</w:t>
      </w:r>
      <w:r w:rsidR="00D764E4" w:rsidRPr="009B7758">
        <w:rPr>
          <w:rFonts w:ascii="Georgia" w:hAnsi="Georgia"/>
          <w:sz w:val="20"/>
          <w:szCs w:val="20"/>
        </w:rPr>
        <w:t>1</w:t>
      </w:r>
      <w:r w:rsidRPr="009B7758">
        <w:rPr>
          <w:rFonts w:ascii="Georgia" w:hAnsi="Georgia"/>
          <w:sz w:val="20"/>
          <w:szCs w:val="20"/>
        </w:rPr>
        <w:t xml:space="preserve">% annually, the dividend was the largest component of return. The following returns decomposition method is used to forecast returns where total return is a function of dividend yields, real price return, </w:t>
      </w:r>
      <w:r w:rsidRPr="00D764E4">
        <w:rPr>
          <w:rFonts w:ascii="Georgia" w:hAnsi="Georgia"/>
          <w:sz w:val="20"/>
          <w:szCs w:val="20"/>
        </w:rPr>
        <w:t>yield compression and inflati</w:t>
      </w:r>
      <w:r w:rsidRPr="009745D8">
        <w:rPr>
          <w:rFonts w:ascii="Georgia" w:hAnsi="Georgia"/>
          <w:sz w:val="20"/>
          <w:szCs w:val="20"/>
        </w:rPr>
        <w:t>on (CPI).</w:t>
      </w:r>
    </w:p>
    <w:p w14:paraId="657E50DF" w14:textId="54536B61" w:rsidR="005865AC" w:rsidRPr="009745D8" w:rsidRDefault="005865AC" w:rsidP="005865AC">
      <w:pPr>
        <w:spacing w:line="360" w:lineRule="auto"/>
        <w:ind w:left="-288"/>
        <w:rPr>
          <w:rFonts w:ascii="Georgia" w:hAnsi="Georgia"/>
          <w:sz w:val="20"/>
          <w:szCs w:val="20"/>
        </w:rPr>
      </w:pPr>
    </w:p>
    <w:p w14:paraId="39F15933" w14:textId="251259AC" w:rsidR="005865AC" w:rsidRPr="009745D8" w:rsidRDefault="005865AC" w:rsidP="005865AC">
      <w:pPr>
        <w:spacing w:line="360" w:lineRule="auto"/>
        <w:ind w:left="-288"/>
        <w:rPr>
          <w:rFonts w:ascii="Georgia" w:hAnsi="Georgia"/>
          <w:sz w:val="20"/>
          <w:szCs w:val="20"/>
        </w:rPr>
      </w:pPr>
      <w:r w:rsidRPr="009745D8">
        <w:rPr>
          <w:rFonts w:ascii="Georgia" w:hAnsi="Georgia"/>
          <w:sz w:val="20"/>
          <w:szCs w:val="20"/>
        </w:rPr>
        <w:t>Modified Returns Decomposition Method: [(DY) + (RPR</w:t>
      </w:r>
      <w:r w:rsidR="00570EA7">
        <w:rPr>
          <w:rStyle w:val="FootnoteReference"/>
          <w:rFonts w:ascii="Georgia" w:hAnsi="Georgia"/>
          <w:sz w:val="20"/>
          <w:szCs w:val="20"/>
        </w:rPr>
        <w:footnoteReference w:id="11"/>
      </w:r>
      <w:r w:rsidRPr="009745D8">
        <w:rPr>
          <w:rFonts w:ascii="Georgia" w:hAnsi="Georgia"/>
          <w:sz w:val="20"/>
          <w:szCs w:val="20"/>
        </w:rPr>
        <w:t xml:space="preserve">) + (YLD C) + (CPI)] </w:t>
      </w:r>
    </w:p>
    <w:p w14:paraId="7AF7B95D" w14:textId="1EAC99BC" w:rsidR="005865AC" w:rsidRPr="008112C5" w:rsidRDefault="005865AC" w:rsidP="005865AC">
      <w:pPr>
        <w:spacing w:line="360" w:lineRule="auto"/>
        <w:ind w:left="-288"/>
        <w:rPr>
          <w:rFonts w:ascii="Georgia" w:hAnsi="Georgia"/>
          <w:sz w:val="20"/>
          <w:szCs w:val="20"/>
        </w:rPr>
      </w:pPr>
      <w:r w:rsidRPr="00CD49F0">
        <w:rPr>
          <w:rFonts w:ascii="Georgia" w:hAnsi="Georgia"/>
          <w:sz w:val="20"/>
          <w:szCs w:val="20"/>
        </w:rPr>
        <w:t>Historical FTSE NAREIT All Equity REITs Total Return Index (1972-</w:t>
      </w:r>
      <w:r w:rsidRPr="009B7758">
        <w:rPr>
          <w:rFonts w:ascii="Georgia" w:hAnsi="Georgia"/>
          <w:sz w:val="20"/>
          <w:szCs w:val="20"/>
        </w:rPr>
        <w:t>202</w:t>
      </w:r>
      <w:r w:rsidR="00786042" w:rsidRPr="009B7758">
        <w:rPr>
          <w:rFonts w:ascii="Georgia" w:hAnsi="Georgia"/>
          <w:sz w:val="20"/>
          <w:szCs w:val="20"/>
        </w:rPr>
        <w:t>5</w:t>
      </w:r>
      <w:r w:rsidRPr="009B7758">
        <w:rPr>
          <w:rFonts w:ascii="Georgia" w:hAnsi="Georgia"/>
          <w:sz w:val="20"/>
          <w:szCs w:val="20"/>
        </w:rPr>
        <w:t>): [(7.0</w:t>
      </w:r>
      <w:r w:rsidR="00CD49F0" w:rsidRPr="009B7758">
        <w:rPr>
          <w:rFonts w:ascii="Georgia" w:hAnsi="Georgia"/>
          <w:sz w:val="20"/>
          <w:szCs w:val="20"/>
        </w:rPr>
        <w:t>1</w:t>
      </w:r>
      <w:r w:rsidRPr="009B7758">
        <w:rPr>
          <w:rFonts w:ascii="Georgia" w:hAnsi="Georgia"/>
          <w:sz w:val="20"/>
          <w:szCs w:val="20"/>
        </w:rPr>
        <w:t xml:space="preserve">%) + (-0.83%) + </w:t>
      </w:r>
      <w:r w:rsidRPr="008112C5">
        <w:rPr>
          <w:rFonts w:ascii="Georgia" w:hAnsi="Georgia"/>
          <w:sz w:val="20"/>
          <w:szCs w:val="20"/>
        </w:rPr>
        <w:t>(0.</w:t>
      </w:r>
      <w:r w:rsidR="008112C5" w:rsidRPr="008112C5">
        <w:rPr>
          <w:rFonts w:ascii="Georgia" w:hAnsi="Georgia"/>
          <w:sz w:val="20"/>
          <w:szCs w:val="20"/>
        </w:rPr>
        <w:t>82</w:t>
      </w:r>
      <w:r w:rsidRPr="008112C5">
        <w:rPr>
          <w:rFonts w:ascii="Georgia" w:hAnsi="Georgia"/>
          <w:sz w:val="20"/>
          <w:szCs w:val="20"/>
        </w:rPr>
        <w:t>%) + (3.8</w:t>
      </w:r>
      <w:r w:rsidR="008112C5" w:rsidRPr="008112C5">
        <w:rPr>
          <w:rFonts w:ascii="Georgia" w:hAnsi="Georgia"/>
          <w:sz w:val="20"/>
          <w:szCs w:val="20"/>
        </w:rPr>
        <w:t>3</w:t>
      </w:r>
      <w:r w:rsidRPr="008112C5">
        <w:rPr>
          <w:rFonts w:ascii="Georgia" w:hAnsi="Georgia"/>
          <w:sz w:val="20"/>
          <w:szCs w:val="20"/>
        </w:rPr>
        <w:t xml:space="preserve">%)] = </w:t>
      </w:r>
      <w:r w:rsidR="00CD49F0" w:rsidRPr="008112C5">
        <w:rPr>
          <w:rFonts w:ascii="Georgia" w:hAnsi="Georgia"/>
          <w:sz w:val="20"/>
          <w:szCs w:val="20"/>
        </w:rPr>
        <w:t>10.84</w:t>
      </w:r>
      <w:r w:rsidRPr="008112C5">
        <w:rPr>
          <w:rFonts w:ascii="Georgia" w:hAnsi="Georgia"/>
          <w:sz w:val="20"/>
          <w:szCs w:val="20"/>
        </w:rPr>
        <w:t>%</w:t>
      </w:r>
    </w:p>
    <w:p w14:paraId="0C8F1BB3" w14:textId="4ACAD916" w:rsidR="005865AC" w:rsidRPr="005865AC" w:rsidRDefault="005865AC" w:rsidP="005865AC">
      <w:pPr>
        <w:spacing w:line="360" w:lineRule="auto"/>
        <w:ind w:left="-288"/>
        <w:rPr>
          <w:rFonts w:ascii="Georgia" w:hAnsi="Georgia"/>
          <w:color w:val="EE0000"/>
          <w:sz w:val="20"/>
          <w:szCs w:val="20"/>
        </w:rPr>
      </w:pPr>
      <w:r w:rsidRPr="008112C5">
        <w:rPr>
          <w:rFonts w:ascii="Georgia" w:hAnsi="Georgia"/>
          <w:sz w:val="20"/>
          <w:szCs w:val="20"/>
        </w:rPr>
        <w:t>10-Year Forecast (202</w:t>
      </w:r>
      <w:r w:rsidR="000611E5" w:rsidRPr="008112C5">
        <w:rPr>
          <w:rFonts w:ascii="Georgia" w:hAnsi="Georgia"/>
          <w:sz w:val="20"/>
          <w:szCs w:val="20"/>
        </w:rPr>
        <w:t>6</w:t>
      </w:r>
      <w:r w:rsidRPr="000611E5">
        <w:rPr>
          <w:rFonts w:ascii="Georgia" w:hAnsi="Georgia"/>
          <w:sz w:val="20"/>
          <w:szCs w:val="20"/>
        </w:rPr>
        <w:t>-</w:t>
      </w:r>
      <w:r w:rsidRPr="00213E90">
        <w:rPr>
          <w:rFonts w:ascii="Georgia" w:hAnsi="Georgia"/>
          <w:sz w:val="20"/>
          <w:szCs w:val="20"/>
        </w:rPr>
        <w:t>203</w:t>
      </w:r>
      <w:r w:rsidR="000611E5" w:rsidRPr="00213E90">
        <w:rPr>
          <w:rFonts w:ascii="Georgia" w:hAnsi="Georgia"/>
          <w:sz w:val="20"/>
          <w:szCs w:val="20"/>
        </w:rPr>
        <w:t>5</w:t>
      </w:r>
      <w:r w:rsidRPr="00850E7E">
        <w:rPr>
          <w:rFonts w:ascii="Georgia" w:hAnsi="Georgia"/>
          <w:sz w:val="20"/>
          <w:szCs w:val="20"/>
        </w:rPr>
        <w:t>): [(</w:t>
      </w:r>
      <w:r w:rsidR="00213E90" w:rsidRPr="00850E7E">
        <w:rPr>
          <w:rFonts w:ascii="Georgia" w:hAnsi="Georgia"/>
          <w:sz w:val="20"/>
          <w:szCs w:val="20"/>
        </w:rPr>
        <w:t>4.00</w:t>
      </w:r>
      <w:r w:rsidRPr="00850E7E">
        <w:rPr>
          <w:rFonts w:ascii="Georgia" w:hAnsi="Georgia"/>
          <w:sz w:val="20"/>
          <w:szCs w:val="20"/>
        </w:rPr>
        <w:t xml:space="preserve">%) + (0.00%) + (0.00%) + </w:t>
      </w:r>
      <w:r w:rsidRPr="00213E90">
        <w:rPr>
          <w:rFonts w:ascii="Georgia" w:hAnsi="Georgia"/>
          <w:sz w:val="20"/>
          <w:szCs w:val="20"/>
        </w:rPr>
        <w:t>(2.3</w:t>
      </w:r>
      <w:r w:rsidR="00213E90" w:rsidRPr="00213E90">
        <w:rPr>
          <w:rFonts w:ascii="Georgia" w:hAnsi="Georgia"/>
          <w:sz w:val="20"/>
          <w:szCs w:val="20"/>
        </w:rPr>
        <w:t>0</w:t>
      </w:r>
      <w:r w:rsidRPr="00011B99">
        <w:rPr>
          <w:rFonts w:ascii="Georgia" w:hAnsi="Georgia"/>
          <w:sz w:val="20"/>
          <w:szCs w:val="20"/>
        </w:rPr>
        <w:t>%)] = 6.</w:t>
      </w:r>
      <w:r w:rsidR="00011B99" w:rsidRPr="00011B99">
        <w:rPr>
          <w:rFonts w:ascii="Georgia" w:hAnsi="Georgia"/>
          <w:sz w:val="20"/>
          <w:szCs w:val="20"/>
        </w:rPr>
        <w:t>30</w:t>
      </w:r>
      <w:r w:rsidRPr="00011B99">
        <w:rPr>
          <w:rFonts w:ascii="Georgia" w:hAnsi="Georgia"/>
          <w:sz w:val="20"/>
          <w:szCs w:val="20"/>
        </w:rPr>
        <w:t>%</w:t>
      </w:r>
    </w:p>
    <w:p w14:paraId="69265FB1" w14:textId="77777777" w:rsidR="005865AC" w:rsidRPr="000611E5" w:rsidRDefault="005865AC" w:rsidP="005865AC">
      <w:pPr>
        <w:spacing w:line="360" w:lineRule="auto"/>
        <w:ind w:left="-288"/>
        <w:rPr>
          <w:rFonts w:ascii="Georgia" w:hAnsi="Georgia"/>
          <w:sz w:val="20"/>
          <w:szCs w:val="20"/>
        </w:rPr>
      </w:pPr>
      <w:r w:rsidRPr="000611E5">
        <w:rPr>
          <w:rFonts w:ascii="Georgia" w:hAnsi="Georgia"/>
          <w:sz w:val="20"/>
          <w:szCs w:val="20"/>
        </w:rPr>
        <w:t>•</w:t>
      </w:r>
      <w:r w:rsidRPr="000611E5">
        <w:rPr>
          <w:rFonts w:ascii="Georgia" w:hAnsi="Georgia"/>
          <w:sz w:val="20"/>
          <w:szCs w:val="20"/>
        </w:rPr>
        <w:tab/>
        <w:t>DY = Dividend Yield</w:t>
      </w:r>
    </w:p>
    <w:p w14:paraId="0031F5F3" w14:textId="79F51CED" w:rsidR="005865AC" w:rsidRPr="000611E5" w:rsidRDefault="005865AC" w:rsidP="005865AC">
      <w:pPr>
        <w:spacing w:line="360" w:lineRule="auto"/>
        <w:ind w:left="-288"/>
        <w:rPr>
          <w:rFonts w:ascii="Georgia" w:hAnsi="Georgia"/>
          <w:sz w:val="20"/>
          <w:szCs w:val="20"/>
        </w:rPr>
      </w:pPr>
      <w:r w:rsidRPr="000611E5">
        <w:rPr>
          <w:rFonts w:ascii="Georgia" w:hAnsi="Georgia"/>
          <w:sz w:val="20"/>
          <w:szCs w:val="20"/>
        </w:rPr>
        <w:t>•</w:t>
      </w:r>
      <w:r w:rsidRPr="000611E5">
        <w:rPr>
          <w:rFonts w:ascii="Georgia" w:hAnsi="Georgia"/>
          <w:sz w:val="20"/>
          <w:szCs w:val="20"/>
        </w:rPr>
        <w:tab/>
        <w:t>RPR = Real price return excluding yield compression</w:t>
      </w:r>
    </w:p>
    <w:p w14:paraId="17B52D4B" w14:textId="77777777" w:rsidR="005865AC" w:rsidRPr="000611E5" w:rsidRDefault="005865AC" w:rsidP="005865AC">
      <w:pPr>
        <w:spacing w:line="360" w:lineRule="auto"/>
        <w:ind w:left="-288"/>
        <w:rPr>
          <w:rFonts w:ascii="Georgia" w:hAnsi="Georgia"/>
          <w:sz w:val="20"/>
          <w:szCs w:val="20"/>
        </w:rPr>
      </w:pPr>
      <w:r w:rsidRPr="000611E5">
        <w:rPr>
          <w:rFonts w:ascii="Georgia" w:hAnsi="Georgia"/>
          <w:sz w:val="20"/>
          <w:szCs w:val="20"/>
        </w:rPr>
        <w:t>•</w:t>
      </w:r>
      <w:r w:rsidRPr="000611E5">
        <w:rPr>
          <w:rFonts w:ascii="Georgia" w:hAnsi="Georgia"/>
          <w:sz w:val="20"/>
          <w:szCs w:val="20"/>
        </w:rPr>
        <w:tab/>
        <w:t>YLD C = Return resulting from yield compression</w:t>
      </w:r>
    </w:p>
    <w:p w14:paraId="1C974AB3" w14:textId="77777777" w:rsidR="005865AC" w:rsidRPr="00011B99" w:rsidRDefault="005865AC" w:rsidP="005865AC">
      <w:pPr>
        <w:spacing w:line="360" w:lineRule="auto"/>
        <w:ind w:left="-288"/>
        <w:rPr>
          <w:rFonts w:ascii="Georgia" w:hAnsi="Georgia"/>
          <w:sz w:val="20"/>
          <w:szCs w:val="20"/>
        </w:rPr>
      </w:pPr>
      <w:r w:rsidRPr="000611E5">
        <w:rPr>
          <w:rFonts w:ascii="Georgia" w:hAnsi="Georgia"/>
          <w:sz w:val="20"/>
          <w:szCs w:val="20"/>
        </w:rPr>
        <w:t>•</w:t>
      </w:r>
      <w:r w:rsidRPr="000611E5">
        <w:rPr>
          <w:rFonts w:ascii="Georgia" w:hAnsi="Georgia"/>
          <w:sz w:val="20"/>
          <w:szCs w:val="20"/>
        </w:rPr>
        <w:tab/>
        <w:t xml:space="preserve">CPI = Inflation </w:t>
      </w:r>
      <w:r w:rsidRPr="00011B99">
        <w:rPr>
          <w:rFonts w:ascii="Georgia" w:hAnsi="Georgia"/>
          <w:sz w:val="20"/>
          <w:szCs w:val="20"/>
        </w:rPr>
        <w:t>Forecast</w:t>
      </w:r>
    </w:p>
    <w:p w14:paraId="61DB16A1" w14:textId="36EC2B92" w:rsidR="002F60EF" w:rsidRPr="00011B99" w:rsidRDefault="005865AC" w:rsidP="005865AC">
      <w:pPr>
        <w:spacing w:line="360" w:lineRule="auto"/>
        <w:ind w:left="-288"/>
        <w:rPr>
          <w:rFonts w:ascii="Georgia" w:hAnsi="Georgia"/>
          <w:b/>
          <w:bCs/>
          <w:sz w:val="20"/>
          <w:szCs w:val="20"/>
        </w:rPr>
      </w:pPr>
      <w:r w:rsidRPr="00011B99">
        <w:rPr>
          <w:rFonts w:ascii="Georgia" w:hAnsi="Georgia"/>
          <w:b/>
          <w:bCs/>
          <w:sz w:val="20"/>
          <w:szCs w:val="20"/>
        </w:rPr>
        <w:t>10-Year Forecast of Annualized Geometric Return: 6.</w:t>
      </w:r>
      <w:r w:rsidR="00011B99" w:rsidRPr="00011B99">
        <w:rPr>
          <w:rFonts w:ascii="Georgia" w:hAnsi="Georgia"/>
          <w:b/>
          <w:bCs/>
          <w:sz w:val="20"/>
          <w:szCs w:val="20"/>
        </w:rPr>
        <w:t>3</w:t>
      </w:r>
      <w:r w:rsidRPr="00011B99">
        <w:rPr>
          <w:rFonts w:ascii="Georgia" w:hAnsi="Georgia"/>
          <w:b/>
          <w:bCs/>
          <w:sz w:val="20"/>
          <w:szCs w:val="20"/>
        </w:rPr>
        <w:t>%</w:t>
      </w:r>
    </w:p>
    <w:p w14:paraId="2AF28361" w14:textId="77777777" w:rsidR="005865AC" w:rsidRDefault="005865AC" w:rsidP="005865AC">
      <w:pPr>
        <w:spacing w:line="360" w:lineRule="auto"/>
        <w:ind w:left="-288"/>
        <w:rPr>
          <w:rFonts w:ascii="Georgia" w:hAnsi="Georgia"/>
          <w:color w:val="EE0000"/>
          <w:sz w:val="20"/>
          <w:szCs w:val="20"/>
        </w:rPr>
      </w:pPr>
    </w:p>
    <w:p w14:paraId="7B6ABF43" w14:textId="77777777" w:rsidR="00C95E8E" w:rsidRPr="00356480" w:rsidRDefault="0082290E" w:rsidP="00C95E8E">
      <w:pPr>
        <w:spacing w:line="360" w:lineRule="auto"/>
        <w:ind w:left="-288"/>
        <w:rPr>
          <w:rFonts w:ascii="Georgia" w:hAnsi="Georgia"/>
          <w:sz w:val="20"/>
          <w:szCs w:val="20"/>
        </w:rPr>
      </w:pPr>
      <w:r>
        <w:rPr>
          <w:rFonts w:ascii="Georgia" w:hAnsi="Georgia"/>
          <w:b/>
          <w:bCs/>
          <w:color w:val="002855"/>
          <w:sz w:val="20"/>
          <w:szCs w:val="20"/>
        </w:rPr>
        <w:t>PRIVATE REAL ESTATE</w:t>
      </w:r>
      <w:r w:rsidRPr="004E721E">
        <w:rPr>
          <w:rFonts w:ascii="Georgia" w:hAnsi="Georgia"/>
          <w:b/>
          <w:bCs/>
          <w:color w:val="002855"/>
          <w:sz w:val="20"/>
          <w:szCs w:val="20"/>
        </w:rPr>
        <w:t>:</w:t>
      </w:r>
      <w:r w:rsidRPr="004E721E">
        <w:rPr>
          <w:rFonts w:ascii="Georgia" w:hAnsi="Georgia"/>
          <w:sz w:val="20"/>
          <w:szCs w:val="20"/>
        </w:rPr>
        <w:t xml:space="preserve"> </w:t>
      </w:r>
      <w:r w:rsidR="00C95E8E" w:rsidRPr="000611E5">
        <w:rPr>
          <w:rFonts w:ascii="Georgia" w:hAnsi="Georgia"/>
          <w:sz w:val="20"/>
          <w:szCs w:val="20"/>
        </w:rPr>
        <w:t xml:space="preserve">The asset class return </w:t>
      </w:r>
      <w:r w:rsidR="00C95E8E" w:rsidRPr="00356480">
        <w:rPr>
          <w:rFonts w:ascii="Georgia" w:hAnsi="Georgia"/>
          <w:sz w:val="20"/>
          <w:szCs w:val="20"/>
        </w:rPr>
        <w:t>assumption is calculated using the public real estate return assumption plus an alpha assumption of +100 bps as compensation for less liquidity compared to public real estate.</w:t>
      </w:r>
    </w:p>
    <w:p w14:paraId="00B2D289" w14:textId="58853374" w:rsidR="005865AC" w:rsidRPr="00356480" w:rsidRDefault="00C95E8E" w:rsidP="00C95E8E">
      <w:pPr>
        <w:spacing w:line="360" w:lineRule="auto"/>
        <w:ind w:left="-288"/>
        <w:rPr>
          <w:rFonts w:ascii="Georgia" w:hAnsi="Georgia"/>
          <w:b/>
          <w:bCs/>
          <w:sz w:val="20"/>
          <w:szCs w:val="20"/>
        </w:rPr>
      </w:pPr>
      <w:r w:rsidRPr="00356480">
        <w:rPr>
          <w:rFonts w:ascii="Georgia" w:hAnsi="Georgia"/>
          <w:b/>
          <w:bCs/>
          <w:sz w:val="20"/>
          <w:szCs w:val="20"/>
        </w:rPr>
        <w:t xml:space="preserve">10-Year Forecast of Annualized Geometric Return: </w:t>
      </w:r>
      <w:r w:rsidR="00356480" w:rsidRPr="00356480">
        <w:rPr>
          <w:rFonts w:ascii="Georgia" w:hAnsi="Georgia"/>
          <w:b/>
          <w:bCs/>
          <w:sz w:val="20"/>
          <w:szCs w:val="20"/>
        </w:rPr>
        <w:t>7.3</w:t>
      </w:r>
      <w:r w:rsidRPr="00356480">
        <w:rPr>
          <w:rFonts w:ascii="Georgia" w:hAnsi="Georgia"/>
          <w:b/>
          <w:bCs/>
          <w:sz w:val="20"/>
          <w:szCs w:val="20"/>
        </w:rPr>
        <w:t>%</w:t>
      </w:r>
    </w:p>
    <w:p w14:paraId="21987360" w14:textId="77777777" w:rsidR="005865AC" w:rsidRDefault="005865AC" w:rsidP="005865AC">
      <w:pPr>
        <w:spacing w:line="360" w:lineRule="auto"/>
        <w:ind w:left="-288"/>
        <w:rPr>
          <w:rFonts w:ascii="Georgia" w:hAnsi="Georgia"/>
          <w:color w:val="EE0000"/>
          <w:sz w:val="20"/>
          <w:szCs w:val="20"/>
        </w:rPr>
      </w:pPr>
    </w:p>
    <w:p w14:paraId="59335C19" w14:textId="41CF1830" w:rsidR="001C7475" w:rsidRPr="00BF163A" w:rsidRDefault="0082290E" w:rsidP="001C7475">
      <w:pPr>
        <w:spacing w:line="360" w:lineRule="auto"/>
        <w:ind w:left="-288"/>
        <w:rPr>
          <w:rFonts w:ascii="Georgia" w:hAnsi="Georgia"/>
          <w:sz w:val="20"/>
          <w:szCs w:val="20"/>
        </w:rPr>
      </w:pPr>
      <w:r>
        <w:rPr>
          <w:rFonts w:ascii="Georgia" w:hAnsi="Georgia"/>
          <w:b/>
          <w:bCs/>
          <w:color w:val="002855"/>
          <w:sz w:val="20"/>
          <w:szCs w:val="20"/>
        </w:rPr>
        <w:t>BROAD REAL ASSETS</w:t>
      </w:r>
      <w:r w:rsidRPr="004E721E">
        <w:rPr>
          <w:rFonts w:ascii="Georgia" w:hAnsi="Georgia"/>
          <w:b/>
          <w:bCs/>
          <w:color w:val="002855"/>
          <w:sz w:val="20"/>
          <w:szCs w:val="20"/>
        </w:rPr>
        <w:t>:</w:t>
      </w:r>
      <w:r w:rsidRPr="004E721E">
        <w:rPr>
          <w:rFonts w:ascii="Georgia" w:hAnsi="Georgia"/>
          <w:sz w:val="20"/>
          <w:szCs w:val="20"/>
        </w:rPr>
        <w:t xml:space="preserve"> </w:t>
      </w:r>
      <w:r w:rsidR="001C7475" w:rsidRPr="00BF163A">
        <w:rPr>
          <w:rFonts w:ascii="Georgia" w:hAnsi="Georgia"/>
          <w:sz w:val="20"/>
          <w:szCs w:val="20"/>
        </w:rPr>
        <w:t>The asset class is calculated using blended return assumptions for REITs (20%), Global Infrastructure (20%), Commodities (20%), Investment-Grade Fixed Income (20%), Corporate High Yield (15%) and TIPS (5%). Our expected geometric return forecast is 6.</w:t>
      </w:r>
      <w:r w:rsidR="00BF163A" w:rsidRPr="00BF163A">
        <w:rPr>
          <w:rFonts w:ascii="Georgia" w:hAnsi="Georgia"/>
          <w:sz w:val="20"/>
          <w:szCs w:val="20"/>
        </w:rPr>
        <w:t>35</w:t>
      </w:r>
      <w:r w:rsidR="001C7475" w:rsidRPr="00BF163A">
        <w:rPr>
          <w:rFonts w:ascii="Georgia" w:hAnsi="Georgia"/>
          <w:sz w:val="20"/>
          <w:szCs w:val="20"/>
        </w:rPr>
        <w:t>%.</w:t>
      </w:r>
    </w:p>
    <w:p w14:paraId="7813A491" w14:textId="4C8FC41A" w:rsidR="002F60EF" w:rsidRPr="00BF163A" w:rsidRDefault="001C7475" w:rsidP="001C7475">
      <w:pPr>
        <w:spacing w:line="360" w:lineRule="auto"/>
        <w:ind w:left="-288"/>
        <w:rPr>
          <w:rFonts w:ascii="Georgia" w:hAnsi="Georgia"/>
          <w:b/>
          <w:bCs/>
          <w:sz w:val="20"/>
          <w:szCs w:val="20"/>
        </w:rPr>
      </w:pPr>
      <w:r w:rsidRPr="00BF163A">
        <w:rPr>
          <w:rFonts w:ascii="Georgia" w:hAnsi="Georgia"/>
          <w:b/>
          <w:bCs/>
          <w:sz w:val="20"/>
          <w:szCs w:val="20"/>
        </w:rPr>
        <w:t>10-Year Forecast of Annualized Geometric Return: 6.</w:t>
      </w:r>
      <w:r w:rsidR="00B23D33">
        <w:rPr>
          <w:rFonts w:ascii="Georgia" w:hAnsi="Georgia"/>
          <w:b/>
          <w:bCs/>
          <w:sz w:val="20"/>
          <w:szCs w:val="20"/>
        </w:rPr>
        <w:t>3</w:t>
      </w:r>
      <w:r w:rsidRPr="00BF163A">
        <w:rPr>
          <w:rFonts w:ascii="Georgia" w:hAnsi="Georgia"/>
          <w:b/>
          <w:bCs/>
          <w:sz w:val="20"/>
          <w:szCs w:val="20"/>
        </w:rPr>
        <w:t>%</w:t>
      </w:r>
    </w:p>
    <w:p w14:paraId="4BA5795B" w14:textId="77777777" w:rsidR="001C7475" w:rsidRDefault="001C7475" w:rsidP="001C7475">
      <w:pPr>
        <w:spacing w:line="360" w:lineRule="auto"/>
        <w:ind w:left="-288"/>
        <w:rPr>
          <w:rFonts w:ascii="Georgia" w:hAnsi="Georgia"/>
          <w:color w:val="EE0000"/>
          <w:sz w:val="20"/>
          <w:szCs w:val="20"/>
        </w:rPr>
      </w:pPr>
    </w:p>
    <w:p w14:paraId="18A74304" w14:textId="21666877" w:rsidR="00CE71D1" w:rsidRPr="00A21054" w:rsidRDefault="00AB132C" w:rsidP="00CE71D1">
      <w:pPr>
        <w:spacing w:line="360" w:lineRule="auto"/>
        <w:ind w:left="-288"/>
        <w:rPr>
          <w:rFonts w:ascii="Georgia" w:hAnsi="Georgia"/>
          <w:sz w:val="20"/>
          <w:szCs w:val="20"/>
        </w:rPr>
      </w:pPr>
      <w:r>
        <w:rPr>
          <w:rFonts w:ascii="Georgia" w:hAnsi="Georgia"/>
          <w:b/>
          <w:bCs/>
          <w:color w:val="002855"/>
          <w:sz w:val="20"/>
          <w:szCs w:val="20"/>
        </w:rPr>
        <w:t>GLOBAL INFRASTRUCTURE</w:t>
      </w:r>
      <w:r w:rsidR="0082290E" w:rsidRPr="004E721E">
        <w:rPr>
          <w:rFonts w:ascii="Georgia" w:hAnsi="Georgia"/>
          <w:b/>
          <w:bCs/>
          <w:color w:val="002855"/>
          <w:sz w:val="20"/>
          <w:szCs w:val="20"/>
        </w:rPr>
        <w:t>:</w:t>
      </w:r>
      <w:r w:rsidR="0082290E" w:rsidRPr="004E721E">
        <w:rPr>
          <w:rFonts w:ascii="Georgia" w:hAnsi="Georgia"/>
          <w:sz w:val="20"/>
          <w:szCs w:val="20"/>
        </w:rPr>
        <w:t xml:space="preserve"> </w:t>
      </w:r>
      <w:r w:rsidR="00CE71D1" w:rsidRPr="00A21054">
        <w:rPr>
          <w:rFonts w:ascii="Georgia" w:hAnsi="Georgia"/>
          <w:sz w:val="20"/>
          <w:szCs w:val="20"/>
        </w:rPr>
        <w:t>The current weighted yield on the Dow Jones Brookfield Global Infrastructure Index is 4.1</w:t>
      </w:r>
      <w:r w:rsidR="00A21054" w:rsidRPr="00A21054">
        <w:rPr>
          <w:rFonts w:ascii="Georgia" w:hAnsi="Georgia"/>
          <w:sz w:val="20"/>
          <w:szCs w:val="20"/>
        </w:rPr>
        <w:t>2</w:t>
      </w:r>
      <w:r w:rsidR="00CE71D1" w:rsidRPr="00A21054">
        <w:rPr>
          <w:rFonts w:ascii="Georgia" w:hAnsi="Georgia"/>
          <w:sz w:val="20"/>
          <w:szCs w:val="20"/>
        </w:rPr>
        <w:t>% as of October 31, 202</w:t>
      </w:r>
      <w:r w:rsidR="00A21054" w:rsidRPr="00A21054">
        <w:rPr>
          <w:rFonts w:ascii="Georgia" w:hAnsi="Georgia"/>
          <w:sz w:val="20"/>
          <w:szCs w:val="20"/>
        </w:rPr>
        <w:t>5</w:t>
      </w:r>
      <w:r w:rsidR="00CE71D1" w:rsidRPr="00A21054">
        <w:rPr>
          <w:rFonts w:ascii="Georgia" w:hAnsi="Georgia"/>
          <w:sz w:val="20"/>
          <w:szCs w:val="20"/>
        </w:rPr>
        <w:t>. Adding the yield to our inflation assumption results in a 6.4</w:t>
      </w:r>
      <w:r w:rsidR="00A21054" w:rsidRPr="00A21054">
        <w:rPr>
          <w:rFonts w:ascii="Georgia" w:hAnsi="Georgia"/>
          <w:sz w:val="20"/>
          <w:szCs w:val="20"/>
        </w:rPr>
        <w:t>2</w:t>
      </w:r>
      <w:r w:rsidR="00CE71D1" w:rsidRPr="00A21054">
        <w:rPr>
          <w:rFonts w:ascii="Georgia" w:hAnsi="Georgia"/>
          <w:sz w:val="20"/>
          <w:szCs w:val="20"/>
        </w:rPr>
        <w:t>% return expectation.</w:t>
      </w:r>
    </w:p>
    <w:p w14:paraId="1AC97EC9" w14:textId="20B1DF7B" w:rsidR="0082290E" w:rsidRPr="00A21054" w:rsidRDefault="00CE71D1" w:rsidP="00CE71D1">
      <w:pPr>
        <w:spacing w:line="360" w:lineRule="auto"/>
        <w:ind w:left="-288"/>
        <w:rPr>
          <w:rFonts w:ascii="Georgia" w:hAnsi="Georgia"/>
          <w:b/>
          <w:bCs/>
          <w:sz w:val="20"/>
          <w:szCs w:val="20"/>
        </w:rPr>
      </w:pPr>
      <w:r w:rsidRPr="00A21054">
        <w:rPr>
          <w:rFonts w:ascii="Georgia" w:hAnsi="Georgia"/>
          <w:b/>
          <w:bCs/>
          <w:sz w:val="20"/>
          <w:szCs w:val="20"/>
        </w:rPr>
        <w:t>10-Year Forecast of Annualized Geometric Return: 6.</w:t>
      </w:r>
      <w:r w:rsidR="00A21054" w:rsidRPr="00A21054">
        <w:rPr>
          <w:rFonts w:ascii="Georgia" w:hAnsi="Georgia"/>
          <w:b/>
          <w:bCs/>
          <w:sz w:val="20"/>
          <w:szCs w:val="20"/>
        </w:rPr>
        <w:t>4</w:t>
      </w:r>
      <w:r w:rsidRPr="00A21054">
        <w:rPr>
          <w:rFonts w:ascii="Georgia" w:hAnsi="Georgia"/>
          <w:b/>
          <w:bCs/>
          <w:sz w:val="20"/>
          <w:szCs w:val="20"/>
        </w:rPr>
        <w:t>%</w:t>
      </w:r>
    </w:p>
    <w:p w14:paraId="340F8C91" w14:textId="77777777" w:rsidR="00CE71D1" w:rsidRPr="00CE71D1" w:rsidRDefault="00CE71D1" w:rsidP="00CE71D1">
      <w:pPr>
        <w:spacing w:line="360" w:lineRule="auto"/>
        <w:ind w:left="-288"/>
        <w:rPr>
          <w:rFonts w:ascii="Georgia" w:hAnsi="Georgia"/>
          <w:color w:val="EE0000"/>
          <w:sz w:val="20"/>
          <w:szCs w:val="20"/>
        </w:rPr>
      </w:pPr>
    </w:p>
    <w:p w14:paraId="494009C2" w14:textId="14382095" w:rsidR="008C3A91" w:rsidRPr="008C3A91" w:rsidRDefault="00CE71D1" w:rsidP="008C3A91">
      <w:pPr>
        <w:spacing w:line="360" w:lineRule="auto"/>
        <w:ind w:left="-288"/>
        <w:rPr>
          <w:rFonts w:ascii="Georgia" w:hAnsi="Georgia"/>
          <w:color w:val="EE0000"/>
          <w:sz w:val="20"/>
          <w:szCs w:val="20"/>
        </w:rPr>
      </w:pPr>
      <w:r>
        <w:rPr>
          <w:rFonts w:ascii="Georgia" w:hAnsi="Georgia"/>
          <w:b/>
          <w:bCs/>
          <w:color w:val="002855"/>
          <w:sz w:val="20"/>
          <w:szCs w:val="20"/>
        </w:rPr>
        <w:t>COMMODITIES</w:t>
      </w:r>
      <w:r w:rsidRPr="004E721E">
        <w:rPr>
          <w:rFonts w:ascii="Georgia" w:hAnsi="Georgia"/>
          <w:b/>
          <w:bCs/>
          <w:color w:val="002855"/>
          <w:sz w:val="20"/>
          <w:szCs w:val="20"/>
        </w:rPr>
        <w:t>:</w:t>
      </w:r>
      <w:r w:rsidRPr="004E721E">
        <w:rPr>
          <w:rFonts w:ascii="Georgia" w:hAnsi="Georgia"/>
          <w:sz w:val="20"/>
          <w:szCs w:val="20"/>
        </w:rPr>
        <w:t xml:space="preserve"> </w:t>
      </w:r>
      <w:r w:rsidR="008C3A91" w:rsidRPr="00D43B9B">
        <w:rPr>
          <w:rFonts w:ascii="Georgia" w:hAnsi="Georgia"/>
          <w:sz w:val="20"/>
          <w:szCs w:val="20"/>
        </w:rPr>
        <w:t xml:space="preserve">The expected return for a Commodity Futures index aggregates the expected spot price appreciation of the underlying commodities (expected </w:t>
      </w:r>
      <w:r w:rsidR="008C3A91" w:rsidRPr="00251EF3">
        <w:rPr>
          <w:rFonts w:ascii="Georgia" w:hAnsi="Georgia"/>
          <w:sz w:val="20"/>
          <w:szCs w:val="20"/>
        </w:rPr>
        <w:t xml:space="preserve">to match inflation/CPI over a full market cycle), the expected excess return generated from the roll return in a forward contract, and the return from holding T-Bills </w:t>
      </w:r>
      <w:r w:rsidR="008C3A91" w:rsidRPr="00251EF3">
        <w:rPr>
          <w:rFonts w:ascii="Georgia" w:hAnsi="Georgia"/>
          <w:sz w:val="20"/>
          <w:szCs w:val="20"/>
        </w:rPr>
        <w:lastRenderedPageBreak/>
        <w:t>(or TIPS) as collateral for the futures contracts. As of October 31, 202</w:t>
      </w:r>
      <w:r w:rsidR="00251EF3" w:rsidRPr="00251EF3">
        <w:rPr>
          <w:rFonts w:ascii="Georgia" w:hAnsi="Georgia"/>
          <w:sz w:val="20"/>
          <w:szCs w:val="20"/>
        </w:rPr>
        <w:t>5</w:t>
      </w:r>
      <w:r w:rsidR="008C3A91" w:rsidRPr="00251EF3">
        <w:rPr>
          <w:rFonts w:ascii="Georgia" w:hAnsi="Georgia"/>
          <w:sz w:val="20"/>
          <w:szCs w:val="20"/>
        </w:rPr>
        <w:t>, the historical components of return for the S&amp;P Goldman Sachs Commodity (GSCI) and Bloomberg Commodity Indices were as follows:</w:t>
      </w:r>
    </w:p>
    <w:p w14:paraId="38C32208" w14:textId="77777777" w:rsidR="008C3A91" w:rsidRPr="008C3A91" w:rsidRDefault="008C3A91" w:rsidP="008C3A91">
      <w:pPr>
        <w:spacing w:line="360" w:lineRule="auto"/>
        <w:ind w:left="-288"/>
        <w:rPr>
          <w:rFonts w:ascii="Georgia" w:hAnsi="Georgia"/>
          <w:color w:val="EE0000"/>
          <w:sz w:val="20"/>
          <w:szCs w:val="20"/>
        </w:rPr>
      </w:pPr>
    </w:p>
    <w:p w14:paraId="30FD5C7B" w14:textId="77777777" w:rsidR="008C3A91" w:rsidRPr="000740E2" w:rsidRDefault="008C3A91" w:rsidP="008C3A91">
      <w:pPr>
        <w:spacing w:line="360" w:lineRule="auto"/>
        <w:ind w:left="-288"/>
        <w:rPr>
          <w:rFonts w:ascii="Georgia" w:hAnsi="Georgia"/>
          <w:sz w:val="20"/>
          <w:szCs w:val="20"/>
        </w:rPr>
      </w:pPr>
      <w:r w:rsidRPr="000740E2">
        <w:rPr>
          <w:rFonts w:ascii="Georgia" w:hAnsi="Georgia"/>
          <w:sz w:val="20"/>
          <w:szCs w:val="20"/>
        </w:rPr>
        <w:t>Commodity Futures Returns Decomposition Method: [(SPOT) +/- (ROLL ) +/- (COLLATERAL)]</w:t>
      </w:r>
    </w:p>
    <w:p w14:paraId="02D1B0C8" w14:textId="48F6FDE6" w:rsidR="008C3A91" w:rsidRPr="000740E2" w:rsidRDefault="008C3A91" w:rsidP="008C3A91">
      <w:pPr>
        <w:spacing w:line="360" w:lineRule="auto"/>
        <w:ind w:left="-288"/>
        <w:rPr>
          <w:rFonts w:ascii="Georgia" w:hAnsi="Georgia"/>
          <w:sz w:val="20"/>
          <w:szCs w:val="20"/>
        </w:rPr>
      </w:pPr>
      <w:r w:rsidRPr="000740E2">
        <w:rPr>
          <w:rFonts w:ascii="Georgia" w:hAnsi="Georgia"/>
          <w:sz w:val="20"/>
          <w:szCs w:val="20"/>
        </w:rPr>
        <w:t>Historical S&amp;P GSCI Total Return Index (1971-202</w:t>
      </w:r>
      <w:r w:rsidR="00DA10D6" w:rsidRPr="000740E2">
        <w:rPr>
          <w:rFonts w:ascii="Georgia" w:hAnsi="Georgia"/>
          <w:sz w:val="20"/>
          <w:szCs w:val="20"/>
        </w:rPr>
        <w:t>5</w:t>
      </w:r>
      <w:r w:rsidRPr="000740E2">
        <w:rPr>
          <w:rFonts w:ascii="Georgia" w:hAnsi="Georgia"/>
          <w:sz w:val="20"/>
          <w:szCs w:val="20"/>
        </w:rPr>
        <w:t>): [(3.</w:t>
      </w:r>
      <w:r w:rsidR="00DA10D6" w:rsidRPr="000740E2">
        <w:rPr>
          <w:rFonts w:ascii="Georgia" w:hAnsi="Georgia"/>
          <w:sz w:val="20"/>
          <w:szCs w:val="20"/>
        </w:rPr>
        <w:t>09</w:t>
      </w:r>
      <w:r w:rsidRPr="000740E2">
        <w:rPr>
          <w:rFonts w:ascii="Georgia" w:hAnsi="Georgia"/>
          <w:sz w:val="20"/>
          <w:szCs w:val="20"/>
        </w:rPr>
        <w:t>% ) + (-1.</w:t>
      </w:r>
      <w:r w:rsidR="00DA10D6" w:rsidRPr="000740E2">
        <w:rPr>
          <w:rFonts w:ascii="Georgia" w:hAnsi="Georgia"/>
          <w:sz w:val="20"/>
          <w:szCs w:val="20"/>
        </w:rPr>
        <w:t>24</w:t>
      </w:r>
      <w:r w:rsidRPr="000740E2">
        <w:rPr>
          <w:rFonts w:ascii="Georgia" w:hAnsi="Georgia"/>
          <w:sz w:val="20"/>
          <w:szCs w:val="20"/>
        </w:rPr>
        <w:t>%) + (</w:t>
      </w:r>
      <w:r w:rsidR="00FC47E9" w:rsidRPr="000740E2">
        <w:rPr>
          <w:rFonts w:ascii="Georgia" w:hAnsi="Georgia"/>
          <w:sz w:val="20"/>
          <w:szCs w:val="20"/>
        </w:rPr>
        <w:t>4.66</w:t>
      </w:r>
      <w:r w:rsidRPr="000740E2">
        <w:rPr>
          <w:rFonts w:ascii="Georgia" w:hAnsi="Georgia"/>
          <w:sz w:val="20"/>
          <w:szCs w:val="20"/>
        </w:rPr>
        <w:t xml:space="preserve">%)] = </w:t>
      </w:r>
      <w:r w:rsidR="00FC47E9" w:rsidRPr="000740E2">
        <w:rPr>
          <w:rFonts w:ascii="Georgia" w:hAnsi="Georgia"/>
          <w:sz w:val="20"/>
          <w:szCs w:val="20"/>
        </w:rPr>
        <w:t>6.</w:t>
      </w:r>
      <w:r w:rsidR="001057B6" w:rsidRPr="000740E2">
        <w:rPr>
          <w:rFonts w:ascii="Georgia" w:hAnsi="Georgia"/>
          <w:sz w:val="20"/>
          <w:szCs w:val="20"/>
        </w:rPr>
        <w:t>51</w:t>
      </w:r>
      <w:r w:rsidRPr="000740E2">
        <w:rPr>
          <w:rFonts w:ascii="Georgia" w:hAnsi="Georgia"/>
          <w:sz w:val="20"/>
          <w:szCs w:val="20"/>
        </w:rPr>
        <w:t>%</w:t>
      </w:r>
    </w:p>
    <w:p w14:paraId="417790D1" w14:textId="2ED89154" w:rsidR="008C3A91" w:rsidRPr="00B15076" w:rsidRDefault="008C3A91" w:rsidP="008C3A91">
      <w:pPr>
        <w:spacing w:line="360" w:lineRule="auto"/>
        <w:ind w:left="-288"/>
        <w:rPr>
          <w:rFonts w:ascii="Georgia" w:hAnsi="Georgia"/>
          <w:sz w:val="20"/>
          <w:szCs w:val="20"/>
        </w:rPr>
      </w:pPr>
      <w:r w:rsidRPr="00665A63">
        <w:rPr>
          <w:rFonts w:ascii="Georgia" w:hAnsi="Georgia"/>
          <w:sz w:val="20"/>
          <w:szCs w:val="20"/>
        </w:rPr>
        <w:t>Historical Bloomberg Commodity Total Return Index (1991</w:t>
      </w:r>
      <w:r w:rsidRPr="00B15076">
        <w:rPr>
          <w:rFonts w:ascii="Georgia" w:hAnsi="Georgia"/>
          <w:sz w:val="20"/>
          <w:szCs w:val="20"/>
        </w:rPr>
        <w:t>-202</w:t>
      </w:r>
      <w:r w:rsidR="00665A63" w:rsidRPr="00B15076">
        <w:rPr>
          <w:rFonts w:ascii="Georgia" w:hAnsi="Georgia"/>
          <w:sz w:val="20"/>
          <w:szCs w:val="20"/>
        </w:rPr>
        <w:t>5</w:t>
      </w:r>
      <w:r w:rsidRPr="00B15076">
        <w:rPr>
          <w:rFonts w:ascii="Georgia" w:hAnsi="Georgia"/>
          <w:sz w:val="20"/>
          <w:szCs w:val="20"/>
        </w:rPr>
        <w:t>): [(5.</w:t>
      </w:r>
      <w:r w:rsidR="00B15076" w:rsidRPr="00B15076">
        <w:rPr>
          <w:rFonts w:ascii="Georgia" w:hAnsi="Georgia"/>
          <w:sz w:val="20"/>
          <w:szCs w:val="20"/>
        </w:rPr>
        <w:t>41</w:t>
      </w:r>
      <w:r w:rsidRPr="00B15076">
        <w:rPr>
          <w:rFonts w:ascii="Georgia" w:hAnsi="Georgia"/>
          <w:sz w:val="20"/>
          <w:szCs w:val="20"/>
        </w:rPr>
        <w:t>%) + (-4.89%) + (2.6</w:t>
      </w:r>
      <w:r w:rsidR="00B15076" w:rsidRPr="00B15076">
        <w:rPr>
          <w:rFonts w:ascii="Georgia" w:hAnsi="Georgia"/>
          <w:sz w:val="20"/>
          <w:szCs w:val="20"/>
        </w:rPr>
        <w:t>6</w:t>
      </w:r>
      <w:r w:rsidRPr="00B15076">
        <w:rPr>
          <w:rFonts w:ascii="Georgia" w:hAnsi="Georgia"/>
          <w:sz w:val="20"/>
          <w:szCs w:val="20"/>
        </w:rPr>
        <w:t xml:space="preserve">%)] = </w:t>
      </w:r>
      <w:r w:rsidR="00B15076" w:rsidRPr="00B15076">
        <w:rPr>
          <w:rFonts w:ascii="Georgia" w:hAnsi="Georgia"/>
          <w:sz w:val="20"/>
          <w:szCs w:val="20"/>
        </w:rPr>
        <w:t>3.18</w:t>
      </w:r>
      <w:r w:rsidRPr="00B15076">
        <w:rPr>
          <w:rFonts w:ascii="Georgia" w:hAnsi="Georgia"/>
          <w:sz w:val="20"/>
          <w:szCs w:val="20"/>
        </w:rPr>
        <w:t>%</w:t>
      </w:r>
    </w:p>
    <w:p w14:paraId="22FB898E" w14:textId="11384355" w:rsidR="008C3A91" w:rsidRPr="00B15076" w:rsidRDefault="008C3A91" w:rsidP="008C3A91">
      <w:pPr>
        <w:spacing w:line="360" w:lineRule="auto"/>
        <w:ind w:left="-288"/>
        <w:rPr>
          <w:rFonts w:ascii="Georgia" w:hAnsi="Georgia"/>
          <w:sz w:val="20"/>
          <w:szCs w:val="20"/>
        </w:rPr>
      </w:pPr>
      <w:r w:rsidRPr="00B15076">
        <w:rPr>
          <w:rFonts w:ascii="Georgia" w:hAnsi="Georgia"/>
          <w:sz w:val="20"/>
          <w:szCs w:val="20"/>
        </w:rPr>
        <w:t>10-Year Forecast (202</w:t>
      </w:r>
      <w:r w:rsidR="00845F50" w:rsidRPr="00B15076">
        <w:rPr>
          <w:rFonts w:ascii="Georgia" w:hAnsi="Georgia"/>
          <w:sz w:val="20"/>
          <w:szCs w:val="20"/>
        </w:rPr>
        <w:t>6</w:t>
      </w:r>
      <w:r w:rsidRPr="00B15076">
        <w:rPr>
          <w:rFonts w:ascii="Georgia" w:hAnsi="Georgia"/>
          <w:sz w:val="20"/>
          <w:szCs w:val="20"/>
        </w:rPr>
        <w:t>-203</w:t>
      </w:r>
      <w:r w:rsidR="00845F50" w:rsidRPr="00B15076">
        <w:rPr>
          <w:rFonts w:ascii="Georgia" w:hAnsi="Georgia"/>
          <w:sz w:val="20"/>
          <w:szCs w:val="20"/>
        </w:rPr>
        <w:t>5</w:t>
      </w:r>
      <w:r w:rsidRPr="00B15076">
        <w:rPr>
          <w:rFonts w:ascii="Georgia" w:hAnsi="Georgia"/>
          <w:sz w:val="20"/>
          <w:szCs w:val="20"/>
        </w:rPr>
        <w:t>): [(2.3</w:t>
      </w:r>
      <w:r w:rsidR="00845F50" w:rsidRPr="00B15076">
        <w:rPr>
          <w:rFonts w:ascii="Georgia" w:hAnsi="Georgia"/>
          <w:sz w:val="20"/>
          <w:szCs w:val="20"/>
        </w:rPr>
        <w:t>0</w:t>
      </w:r>
      <w:r w:rsidRPr="00B15076">
        <w:rPr>
          <w:rFonts w:ascii="Georgia" w:hAnsi="Georgia"/>
          <w:sz w:val="20"/>
          <w:szCs w:val="20"/>
        </w:rPr>
        <w:t>%) + (0.00%) + (4.</w:t>
      </w:r>
      <w:r w:rsidR="00665A63" w:rsidRPr="00B15076">
        <w:rPr>
          <w:rFonts w:ascii="Georgia" w:hAnsi="Georgia"/>
          <w:sz w:val="20"/>
          <w:szCs w:val="20"/>
        </w:rPr>
        <w:t>00</w:t>
      </w:r>
      <w:r w:rsidRPr="00B15076">
        <w:rPr>
          <w:rFonts w:ascii="Georgia" w:hAnsi="Georgia"/>
          <w:sz w:val="20"/>
          <w:szCs w:val="20"/>
        </w:rPr>
        <w:t>% )] = 6.</w:t>
      </w:r>
      <w:r w:rsidR="00813D02" w:rsidRPr="00B15076">
        <w:rPr>
          <w:rFonts w:ascii="Georgia" w:hAnsi="Georgia"/>
          <w:sz w:val="20"/>
          <w:szCs w:val="20"/>
        </w:rPr>
        <w:t>3</w:t>
      </w:r>
      <w:r w:rsidR="00665A63" w:rsidRPr="00B15076">
        <w:rPr>
          <w:rFonts w:ascii="Georgia" w:hAnsi="Georgia"/>
          <w:sz w:val="20"/>
          <w:szCs w:val="20"/>
        </w:rPr>
        <w:t>0</w:t>
      </w:r>
      <w:r w:rsidRPr="00B15076">
        <w:rPr>
          <w:rFonts w:ascii="Georgia" w:hAnsi="Georgia"/>
          <w:sz w:val="20"/>
          <w:szCs w:val="20"/>
        </w:rPr>
        <w:t>%</w:t>
      </w:r>
    </w:p>
    <w:p w14:paraId="26D8DF15" w14:textId="77777777" w:rsidR="008C3A91" w:rsidRPr="00845F50" w:rsidRDefault="008C3A91" w:rsidP="008C3A91">
      <w:pPr>
        <w:spacing w:line="360" w:lineRule="auto"/>
        <w:ind w:left="-288"/>
        <w:rPr>
          <w:rFonts w:ascii="Georgia" w:hAnsi="Georgia"/>
          <w:sz w:val="20"/>
          <w:szCs w:val="20"/>
        </w:rPr>
      </w:pPr>
    </w:p>
    <w:p w14:paraId="68F301F1" w14:textId="77777777" w:rsidR="008C3A91" w:rsidRPr="00845F50" w:rsidRDefault="008C3A91" w:rsidP="008C3A91">
      <w:pPr>
        <w:spacing w:line="360" w:lineRule="auto"/>
        <w:ind w:left="-288"/>
        <w:rPr>
          <w:rFonts w:ascii="Georgia" w:hAnsi="Georgia"/>
          <w:sz w:val="20"/>
          <w:szCs w:val="20"/>
        </w:rPr>
      </w:pPr>
      <w:r w:rsidRPr="00845F50">
        <w:rPr>
          <w:rFonts w:ascii="Georgia" w:hAnsi="Georgia"/>
          <w:sz w:val="20"/>
          <w:szCs w:val="20"/>
        </w:rPr>
        <w:t>•</w:t>
      </w:r>
      <w:r w:rsidRPr="00845F50">
        <w:rPr>
          <w:rFonts w:ascii="Georgia" w:hAnsi="Georgia"/>
          <w:sz w:val="20"/>
          <w:szCs w:val="20"/>
        </w:rPr>
        <w:tab/>
        <w:t>SPOT = Spot price return, assumed to keep pace with inflation as measured by CPI forecast</w:t>
      </w:r>
    </w:p>
    <w:p w14:paraId="4D9E682C" w14:textId="77777777" w:rsidR="008C3A91" w:rsidRPr="00845F50" w:rsidRDefault="008C3A91" w:rsidP="008C3A91">
      <w:pPr>
        <w:spacing w:line="360" w:lineRule="auto"/>
        <w:ind w:left="-288"/>
        <w:rPr>
          <w:rFonts w:ascii="Georgia" w:hAnsi="Georgia"/>
          <w:sz w:val="20"/>
          <w:szCs w:val="20"/>
        </w:rPr>
      </w:pPr>
      <w:r w:rsidRPr="00845F50">
        <w:rPr>
          <w:rFonts w:ascii="Georgia" w:hAnsi="Georgia"/>
          <w:sz w:val="20"/>
          <w:szCs w:val="20"/>
        </w:rPr>
        <w:t>•</w:t>
      </w:r>
      <w:r w:rsidRPr="00845F50">
        <w:rPr>
          <w:rFonts w:ascii="Georgia" w:hAnsi="Georgia"/>
          <w:sz w:val="20"/>
          <w:szCs w:val="20"/>
        </w:rPr>
        <w:tab/>
        <w:t>ROLL = Roll return, assumed to be earned from holding a futures contract to (near) maturity</w:t>
      </w:r>
    </w:p>
    <w:p w14:paraId="510F2FDB" w14:textId="5B3FDDD5" w:rsidR="008C3A91" w:rsidRPr="008C3A91" w:rsidRDefault="008C3A91" w:rsidP="008C3A91">
      <w:pPr>
        <w:spacing w:line="360" w:lineRule="auto"/>
        <w:ind w:left="-288"/>
        <w:rPr>
          <w:rFonts w:ascii="Georgia" w:hAnsi="Georgia"/>
          <w:color w:val="EE0000"/>
          <w:sz w:val="20"/>
          <w:szCs w:val="20"/>
        </w:rPr>
      </w:pPr>
      <w:r w:rsidRPr="00845F50">
        <w:rPr>
          <w:rFonts w:ascii="Georgia" w:hAnsi="Georgia"/>
          <w:sz w:val="20"/>
          <w:szCs w:val="20"/>
        </w:rPr>
        <w:t>•</w:t>
      </w:r>
      <w:r w:rsidRPr="00845F50">
        <w:rPr>
          <w:rFonts w:ascii="Georgia" w:hAnsi="Georgia"/>
          <w:sz w:val="20"/>
          <w:szCs w:val="20"/>
        </w:rPr>
        <w:tab/>
      </w:r>
      <w:r w:rsidRPr="00813D02">
        <w:rPr>
          <w:rFonts w:ascii="Georgia" w:hAnsi="Georgia"/>
          <w:sz w:val="20"/>
          <w:szCs w:val="20"/>
        </w:rPr>
        <w:t xml:space="preserve">COLLATERAL = Collateral return, earned by the return of the asset used to collateralize futures/swaps (i.e., T-Bills, TIPS, etc.). Collateral return is assumed to be the midpoint yield between risk free rates (currently </w:t>
      </w:r>
      <w:r w:rsidR="00813D02" w:rsidRPr="00813D02">
        <w:rPr>
          <w:rFonts w:ascii="Georgia" w:hAnsi="Georgia"/>
          <w:sz w:val="20"/>
          <w:szCs w:val="20"/>
        </w:rPr>
        <w:t>3.89</w:t>
      </w:r>
      <w:r w:rsidRPr="00813D02">
        <w:rPr>
          <w:rFonts w:ascii="Georgia" w:hAnsi="Georgia"/>
          <w:sz w:val="20"/>
          <w:szCs w:val="20"/>
        </w:rPr>
        <w:t>%) and the 10-year Treasury (4.</w:t>
      </w:r>
      <w:r w:rsidR="007F44BC" w:rsidRPr="00813D02">
        <w:rPr>
          <w:rFonts w:ascii="Georgia" w:hAnsi="Georgia"/>
          <w:sz w:val="20"/>
          <w:szCs w:val="20"/>
        </w:rPr>
        <w:t>11</w:t>
      </w:r>
      <w:r w:rsidRPr="00813D02">
        <w:rPr>
          <w:rFonts w:ascii="Georgia" w:hAnsi="Georgia"/>
          <w:sz w:val="20"/>
          <w:szCs w:val="20"/>
        </w:rPr>
        <w:t>%).</w:t>
      </w:r>
    </w:p>
    <w:p w14:paraId="5A7DDA6B" w14:textId="35CC3E29" w:rsidR="002F60EF" w:rsidRPr="00623805" w:rsidRDefault="008C3A91" w:rsidP="008C3A91">
      <w:pPr>
        <w:spacing w:line="360" w:lineRule="auto"/>
        <w:ind w:left="-288"/>
        <w:rPr>
          <w:rFonts w:ascii="Georgia" w:hAnsi="Georgia"/>
          <w:b/>
          <w:bCs/>
          <w:sz w:val="20"/>
          <w:szCs w:val="20"/>
        </w:rPr>
      </w:pPr>
      <w:r w:rsidRPr="00623805">
        <w:rPr>
          <w:rFonts w:ascii="Georgia" w:hAnsi="Georgia"/>
          <w:b/>
          <w:bCs/>
          <w:sz w:val="20"/>
          <w:szCs w:val="20"/>
        </w:rPr>
        <w:t>10-Year Forecast of Annualized Geometric Return: 6.</w:t>
      </w:r>
      <w:r w:rsidR="00623805" w:rsidRPr="00623805">
        <w:rPr>
          <w:rFonts w:ascii="Georgia" w:hAnsi="Georgia"/>
          <w:b/>
          <w:bCs/>
          <w:sz w:val="20"/>
          <w:szCs w:val="20"/>
        </w:rPr>
        <w:t>3</w:t>
      </w:r>
      <w:r w:rsidRPr="00623805">
        <w:rPr>
          <w:rFonts w:ascii="Georgia" w:hAnsi="Georgia"/>
          <w:b/>
          <w:bCs/>
          <w:sz w:val="20"/>
          <w:szCs w:val="20"/>
        </w:rPr>
        <w:t>%</w:t>
      </w:r>
    </w:p>
    <w:p w14:paraId="15F9211F" w14:textId="77777777" w:rsidR="008C3A91" w:rsidRDefault="008C3A91" w:rsidP="008C3A91">
      <w:pPr>
        <w:spacing w:line="360" w:lineRule="auto"/>
        <w:ind w:left="-288"/>
        <w:rPr>
          <w:rFonts w:ascii="Georgia" w:hAnsi="Georgia"/>
          <w:color w:val="EE0000"/>
          <w:sz w:val="20"/>
          <w:szCs w:val="20"/>
        </w:rPr>
      </w:pPr>
    </w:p>
    <w:p w14:paraId="46877F30" w14:textId="77777777" w:rsidR="007D2EDD" w:rsidRPr="007D2EDD" w:rsidRDefault="008C3A91" w:rsidP="007D2EDD">
      <w:pPr>
        <w:spacing w:line="360" w:lineRule="auto"/>
        <w:ind w:left="-288"/>
        <w:rPr>
          <w:rFonts w:ascii="Georgia" w:hAnsi="Georgia"/>
          <w:color w:val="EE0000"/>
          <w:sz w:val="20"/>
          <w:szCs w:val="20"/>
        </w:rPr>
      </w:pPr>
      <w:r>
        <w:rPr>
          <w:rFonts w:ascii="Georgia" w:hAnsi="Georgia"/>
          <w:b/>
          <w:bCs/>
          <w:color w:val="002855"/>
          <w:sz w:val="20"/>
          <w:szCs w:val="20"/>
        </w:rPr>
        <w:t>MARKETABLE ALTERNATIVES</w:t>
      </w:r>
      <w:r w:rsidRPr="004E721E">
        <w:rPr>
          <w:rFonts w:ascii="Georgia" w:hAnsi="Georgia"/>
          <w:b/>
          <w:bCs/>
          <w:color w:val="002855"/>
          <w:sz w:val="20"/>
          <w:szCs w:val="20"/>
        </w:rPr>
        <w:t>:</w:t>
      </w:r>
      <w:r w:rsidRPr="004E721E">
        <w:rPr>
          <w:rFonts w:ascii="Georgia" w:hAnsi="Georgia"/>
          <w:sz w:val="20"/>
          <w:szCs w:val="20"/>
        </w:rPr>
        <w:t xml:space="preserve"> </w:t>
      </w:r>
      <w:r w:rsidR="007D2EDD" w:rsidRPr="003C6570">
        <w:rPr>
          <w:rFonts w:ascii="Georgia" w:hAnsi="Georgia"/>
          <w:sz w:val="20"/>
          <w:szCs w:val="20"/>
        </w:rPr>
        <w:t>The return forecast for Marketable Alternatives is differentiated in that it, along with private equity, are the only investment categories with net positive manager alpha assumptions. That is, the return forecast is not meant to represent a return expectation for the aggregate market, but rather a skillful portfolio of Marketable Alternatives strategies. For purposes of measuring historical risk exposures and correlations to other asset classes, the HFRI Fund of Funds Index, an equal-weighted composite, is used as the proxy. The return, risk, correlation, skewness and kurtosis assumptions are expected to differ on a strategy-by-strategy basis.</w:t>
      </w:r>
    </w:p>
    <w:p w14:paraId="572736E4" w14:textId="77777777" w:rsidR="007D2EDD" w:rsidRPr="007D2EDD" w:rsidRDefault="007D2EDD" w:rsidP="007D2EDD">
      <w:pPr>
        <w:spacing w:line="360" w:lineRule="auto"/>
        <w:ind w:left="-288"/>
        <w:rPr>
          <w:rFonts w:ascii="Georgia" w:hAnsi="Georgia"/>
          <w:color w:val="EE0000"/>
          <w:sz w:val="20"/>
          <w:szCs w:val="20"/>
        </w:rPr>
      </w:pPr>
    </w:p>
    <w:p w14:paraId="1671BC98" w14:textId="684EFA5B" w:rsidR="007D2EDD" w:rsidRPr="00397BDC" w:rsidRDefault="007D2EDD" w:rsidP="007D2EDD">
      <w:pPr>
        <w:spacing w:line="360" w:lineRule="auto"/>
        <w:ind w:left="-288"/>
        <w:rPr>
          <w:rFonts w:ascii="Georgia" w:hAnsi="Georgia"/>
          <w:sz w:val="20"/>
          <w:szCs w:val="20"/>
        </w:rPr>
      </w:pPr>
      <w:r w:rsidRPr="00397BDC">
        <w:rPr>
          <w:rFonts w:ascii="Georgia" w:hAnsi="Georgia"/>
          <w:sz w:val="20"/>
          <w:szCs w:val="20"/>
        </w:rPr>
        <w:t xml:space="preserve">Our current 10-year standard deviation (or volatility) forecast for a diversified multi-strategy portfolio of Marketable Alternatives is </w:t>
      </w:r>
      <w:r w:rsidR="00887DEC">
        <w:rPr>
          <w:rFonts w:ascii="Georgia" w:hAnsi="Georgia"/>
          <w:sz w:val="20"/>
          <w:szCs w:val="20"/>
        </w:rPr>
        <w:t>8</w:t>
      </w:r>
      <w:r w:rsidRPr="004B4B5C">
        <w:rPr>
          <w:rFonts w:ascii="Georgia" w:hAnsi="Georgia"/>
          <w:sz w:val="20"/>
          <w:szCs w:val="20"/>
        </w:rPr>
        <w:t>.</w:t>
      </w:r>
      <w:r w:rsidR="00887DEC">
        <w:rPr>
          <w:rFonts w:ascii="Georgia" w:hAnsi="Georgia"/>
          <w:sz w:val="20"/>
          <w:szCs w:val="20"/>
        </w:rPr>
        <w:t>5</w:t>
      </w:r>
      <w:r w:rsidRPr="004B4B5C">
        <w:rPr>
          <w:rFonts w:ascii="Georgia" w:hAnsi="Georgia"/>
          <w:sz w:val="20"/>
          <w:szCs w:val="20"/>
        </w:rPr>
        <w:t>%, the same volatility expected of hypothetical portfolio consisting of 6</w:t>
      </w:r>
      <w:r w:rsidR="00887DEC">
        <w:rPr>
          <w:rFonts w:ascii="Georgia" w:hAnsi="Georgia"/>
          <w:sz w:val="20"/>
          <w:szCs w:val="20"/>
        </w:rPr>
        <w:t>3</w:t>
      </w:r>
      <w:r w:rsidRPr="004B4B5C">
        <w:rPr>
          <w:rFonts w:ascii="Georgia" w:hAnsi="Georgia"/>
          <w:sz w:val="20"/>
          <w:szCs w:val="20"/>
        </w:rPr>
        <w:t>% investment grade U.S. fixed income and 3</w:t>
      </w:r>
      <w:r w:rsidR="00887DEC">
        <w:rPr>
          <w:rFonts w:ascii="Georgia" w:hAnsi="Georgia"/>
          <w:sz w:val="20"/>
          <w:szCs w:val="20"/>
        </w:rPr>
        <w:t>7</w:t>
      </w:r>
      <w:r w:rsidRPr="004B4B5C">
        <w:rPr>
          <w:rFonts w:ascii="Georgia" w:hAnsi="Georgia"/>
          <w:sz w:val="20"/>
          <w:szCs w:val="20"/>
        </w:rPr>
        <w:t>% global equity mix based on our 10-year forecasts. This fixed/equity mix has a 5.</w:t>
      </w:r>
      <w:r w:rsidR="001D4F0F">
        <w:rPr>
          <w:rFonts w:ascii="Georgia" w:hAnsi="Georgia"/>
          <w:sz w:val="20"/>
          <w:szCs w:val="20"/>
        </w:rPr>
        <w:t>5</w:t>
      </w:r>
      <w:r w:rsidRPr="00397BDC">
        <w:rPr>
          <w:rFonts w:ascii="Georgia" w:hAnsi="Georgia"/>
          <w:sz w:val="20"/>
          <w:szCs w:val="20"/>
        </w:rPr>
        <w:t xml:space="preserve">% 10-year geometric expected return forecast. </w:t>
      </w:r>
      <w:r w:rsidRPr="00F45607">
        <w:rPr>
          <w:rFonts w:ascii="Georgia" w:hAnsi="Georgia"/>
          <w:sz w:val="20"/>
          <w:szCs w:val="20"/>
        </w:rPr>
        <w:t>Our expectation is for a skillful and diversified portfolio of marketable alternative strategies to add 1.5% of excess return (i.</w:t>
      </w:r>
      <w:r w:rsidRPr="00397BDC">
        <w:rPr>
          <w:rFonts w:ascii="Georgia" w:hAnsi="Georgia"/>
          <w:sz w:val="20"/>
          <w:szCs w:val="20"/>
        </w:rPr>
        <w:t>e., 5.</w:t>
      </w:r>
      <w:r w:rsidR="001D4F0F">
        <w:rPr>
          <w:rFonts w:ascii="Georgia" w:hAnsi="Georgia"/>
          <w:sz w:val="20"/>
          <w:szCs w:val="20"/>
        </w:rPr>
        <w:t>5</w:t>
      </w:r>
      <w:r w:rsidRPr="00397BDC">
        <w:rPr>
          <w:rFonts w:ascii="Georgia" w:hAnsi="Georgia"/>
          <w:sz w:val="20"/>
          <w:szCs w:val="20"/>
        </w:rPr>
        <w:t xml:space="preserve">% </w:t>
      </w:r>
      <w:r w:rsidRPr="00F45607">
        <w:rPr>
          <w:rFonts w:ascii="Georgia" w:hAnsi="Georgia"/>
          <w:sz w:val="20"/>
          <w:szCs w:val="20"/>
        </w:rPr>
        <w:t>+ 1.5% = 7.</w:t>
      </w:r>
      <w:r w:rsidR="00C76A83" w:rsidRPr="00F45607">
        <w:rPr>
          <w:rFonts w:ascii="Georgia" w:hAnsi="Georgia"/>
          <w:sz w:val="20"/>
          <w:szCs w:val="20"/>
        </w:rPr>
        <w:t>0</w:t>
      </w:r>
      <w:r w:rsidRPr="00F45607">
        <w:rPr>
          <w:rFonts w:ascii="Georgia" w:hAnsi="Georgia"/>
          <w:sz w:val="20"/>
          <w:szCs w:val="20"/>
        </w:rPr>
        <w:t xml:space="preserve">%) net of manager fees at approximately the same volatility level. For Liquid Alternatives, the same process is employed but a zero percent excess return is used to </w:t>
      </w:r>
      <w:r w:rsidRPr="00397BDC">
        <w:rPr>
          <w:rFonts w:ascii="Georgia" w:hAnsi="Georgia"/>
          <w:sz w:val="20"/>
          <w:szCs w:val="20"/>
        </w:rPr>
        <w:t>arrive at a 5.</w:t>
      </w:r>
      <w:r w:rsidR="00751A65">
        <w:rPr>
          <w:rFonts w:ascii="Georgia" w:hAnsi="Georgia"/>
          <w:sz w:val="20"/>
          <w:szCs w:val="20"/>
        </w:rPr>
        <w:t>5</w:t>
      </w:r>
      <w:r w:rsidRPr="00397BDC">
        <w:rPr>
          <w:rFonts w:ascii="Georgia" w:hAnsi="Georgia"/>
          <w:sz w:val="20"/>
          <w:szCs w:val="20"/>
        </w:rPr>
        <w:t xml:space="preserve">% return </w:t>
      </w:r>
      <w:r w:rsidRPr="00F45607">
        <w:rPr>
          <w:rFonts w:ascii="Georgia" w:hAnsi="Georgia"/>
          <w:sz w:val="20"/>
          <w:szCs w:val="20"/>
        </w:rPr>
        <w:t>assumption.</w:t>
      </w:r>
    </w:p>
    <w:p w14:paraId="245CDF0C" w14:textId="77777777" w:rsidR="007D2EDD" w:rsidRPr="007D2EDD" w:rsidRDefault="007D2EDD" w:rsidP="007D2EDD">
      <w:pPr>
        <w:spacing w:line="360" w:lineRule="auto"/>
        <w:ind w:left="-288"/>
        <w:rPr>
          <w:rFonts w:ascii="Georgia" w:hAnsi="Georgia"/>
          <w:color w:val="EE0000"/>
          <w:sz w:val="20"/>
          <w:szCs w:val="20"/>
        </w:rPr>
      </w:pPr>
    </w:p>
    <w:p w14:paraId="72365E2F" w14:textId="6AB796DA" w:rsidR="008C3A91" w:rsidRPr="00693C9D" w:rsidRDefault="007D2EDD" w:rsidP="007D2EDD">
      <w:pPr>
        <w:spacing w:line="360" w:lineRule="auto"/>
        <w:ind w:left="-288"/>
        <w:rPr>
          <w:rFonts w:ascii="Georgia" w:hAnsi="Georgia"/>
          <w:b/>
          <w:bCs/>
          <w:sz w:val="20"/>
          <w:szCs w:val="20"/>
        </w:rPr>
      </w:pPr>
      <w:r w:rsidRPr="00693C9D">
        <w:rPr>
          <w:rFonts w:ascii="Georgia" w:hAnsi="Georgia"/>
          <w:b/>
          <w:bCs/>
          <w:sz w:val="20"/>
          <w:szCs w:val="20"/>
        </w:rPr>
        <w:t xml:space="preserve">10-Year Forecast of Annualized Geometric Return: </w:t>
      </w:r>
      <w:r w:rsidR="00944930" w:rsidRPr="00693C9D">
        <w:rPr>
          <w:rFonts w:ascii="Georgia" w:hAnsi="Georgia"/>
          <w:b/>
          <w:bCs/>
          <w:sz w:val="20"/>
          <w:szCs w:val="20"/>
        </w:rPr>
        <w:t>7.0</w:t>
      </w:r>
      <w:r w:rsidRPr="00693C9D">
        <w:rPr>
          <w:rFonts w:ascii="Georgia" w:hAnsi="Georgia"/>
          <w:b/>
          <w:bCs/>
          <w:sz w:val="20"/>
          <w:szCs w:val="20"/>
        </w:rPr>
        <w:t>% for Marketable Alternatives</w:t>
      </w:r>
      <w:r w:rsidR="006F69AB" w:rsidRPr="00693C9D">
        <w:rPr>
          <w:rStyle w:val="FootnoteReference"/>
          <w:rFonts w:ascii="Georgia" w:hAnsi="Georgia"/>
          <w:b/>
          <w:bCs/>
          <w:sz w:val="20"/>
          <w:szCs w:val="20"/>
        </w:rPr>
        <w:footnoteReference w:id="12"/>
      </w:r>
      <w:r w:rsidRPr="00693C9D">
        <w:rPr>
          <w:rFonts w:ascii="Georgia" w:hAnsi="Georgia"/>
          <w:b/>
          <w:bCs/>
          <w:sz w:val="20"/>
          <w:szCs w:val="20"/>
        </w:rPr>
        <w:t xml:space="preserve"> &amp; </w:t>
      </w:r>
      <w:r w:rsidR="00693C9D" w:rsidRPr="00693C9D">
        <w:rPr>
          <w:rFonts w:ascii="Georgia" w:hAnsi="Georgia"/>
          <w:b/>
          <w:bCs/>
          <w:sz w:val="20"/>
          <w:szCs w:val="20"/>
        </w:rPr>
        <w:t>5.5</w:t>
      </w:r>
      <w:r w:rsidRPr="00693C9D">
        <w:rPr>
          <w:rFonts w:ascii="Georgia" w:hAnsi="Georgia"/>
          <w:b/>
          <w:bCs/>
          <w:sz w:val="20"/>
          <w:szCs w:val="20"/>
        </w:rPr>
        <w:t>% for Liquid Alternatives</w:t>
      </w:r>
    </w:p>
    <w:p w14:paraId="796D2AF6" w14:textId="77777777" w:rsidR="007D2EDD" w:rsidRDefault="007D2EDD" w:rsidP="007D2EDD">
      <w:pPr>
        <w:spacing w:line="360" w:lineRule="auto"/>
        <w:ind w:left="-288"/>
        <w:rPr>
          <w:rFonts w:ascii="Georgia" w:hAnsi="Georgia"/>
          <w:color w:val="EE0000"/>
          <w:sz w:val="20"/>
          <w:szCs w:val="20"/>
        </w:rPr>
      </w:pPr>
    </w:p>
    <w:p w14:paraId="739F9C01" w14:textId="77777777" w:rsidR="00632D45" w:rsidRPr="00693C9D" w:rsidRDefault="009006AB" w:rsidP="00632D45">
      <w:pPr>
        <w:spacing w:line="360" w:lineRule="auto"/>
        <w:ind w:left="-288"/>
        <w:rPr>
          <w:rFonts w:ascii="Georgia" w:hAnsi="Georgia"/>
          <w:sz w:val="20"/>
          <w:szCs w:val="20"/>
        </w:rPr>
      </w:pPr>
      <w:r>
        <w:rPr>
          <w:rFonts w:ascii="Georgia" w:hAnsi="Georgia"/>
          <w:b/>
          <w:bCs/>
          <w:color w:val="002855"/>
          <w:sz w:val="20"/>
          <w:szCs w:val="20"/>
        </w:rPr>
        <w:t>PRIVATE EQUITY</w:t>
      </w:r>
      <w:r w:rsidRPr="004E721E">
        <w:rPr>
          <w:rFonts w:ascii="Georgia" w:hAnsi="Georgia"/>
          <w:b/>
          <w:bCs/>
          <w:color w:val="002855"/>
          <w:sz w:val="20"/>
          <w:szCs w:val="20"/>
        </w:rPr>
        <w:t>:</w:t>
      </w:r>
      <w:r w:rsidRPr="004E721E">
        <w:rPr>
          <w:rFonts w:ascii="Georgia" w:hAnsi="Georgia"/>
          <w:sz w:val="20"/>
          <w:szCs w:val="20"/>
        </w:rPr>
        <w:t xml:space="preserve"> </w:t>
      </w:r>
      <w:r w:rsidR="00632D45" w:rsidRPr="008A7AFB">
        <w:rPr>
          <w:rFonts w:ascii="Georgia" w:hAnsi="Georgia"/>
          <w:sz w:val="20"/>
          <w:szCs w:val="20"/>
        </w:rPr>
        <w:t xml:space="preserve">We </w:t>
      </w:r>
      <w:r w:rsidR="00632D45" w:rsidRPr="00693C9D">
        <w:rPr>
          <w:rFonts w:ascii="Georgia" w:hAnsi="Georgia"/>
          <w:sz w:val="20"/>
          <w:szCs w:val="20"/>
        </w:rPr>
        <w:t>assume investors demand a 3% risk premium over U.S. All Cap Equity net of manager fees to justify the risk and illiquidity of investing in private equity. The private equity return forecast is not meant to represent a return expectation for the aggregate private equity market, but rather a portfolio of skillful private equity funds. This return forecast is expected to differ depending upon the differentiated properties of the private equity investment product (i.e., buyout, venture, etc.).</w:t>
      </w:r>
    </w:p>
    <w:p w14:paraId="294BFDB9" w14:textId="7CD8E3AD" w:rsidR="007D2EDD" w:rsidRPr="00693C9D" w:rsidRDefault="00632D45" w:rsidP="00632D45">
      <w:pPr>
        <w:spacing w:line="360" w:lineRule="auto"/>
        <w:ind w:left="-288"/>
        <w:rPr>
          <w:rFonts w:ascii="Georgia" w:hAnsi="Georgia"/>
          <w:b/>
          <w:bCs/>
          <w:sz w:val="20"/>
          <w:szCs w:val="20"/>
        </w:rPr>
      </w:pPr>
      <w:r w:rsidRPr="00693C9D">
        <w:rPr>
          <w:rFonts w:ascii="Georgia" w:hAnsi="Georgia"/>
          <w:b/>
          <w:bCs/>
          <w:sz w:val="20"/>
          <w:szCs w:val="20"/>
        </w:rPr>
        <w:t>10-Year Forecast of Annualized Geometric Return: 8.</w:t>
      </w:r>
      <w:r w:rsidR="00693C9D" w:rsidRPr="00693C9D">
        <w:rPr>
          <w:rFonts w:ascii="Georgia" w:hAnsi="Georgia"/>
          <w:b/>
          <w:bCs/>
          <w:sz w:val="20"/>
          <w:szCs w:val="20"/>
        </w:rPr>
        <w:t>2</w:t>
      </w:r>
      <w:r w:rsidRPr="00693C9D">
        <w:rPr>
          <w:rFonts w:ascii="Georgia" w:hAnsi="Georgia"/>
          <w:b/>
          <w:bCs/>
          <w:sz w:val="20"/>
          <w:szCs w:val="20"/>
        </w:rPr>
        <w:t>%</w:t>
      </w:r>
    </w:p>
    <w:p w14:paraId="43D7DAA8" w14:textId="77777777" w:rsidR="007D2EDD" w:rsidRDefault="007D2EDD" w:rsidP="007D2EDD">
      <w:pPr>
        <w:spacing w:line="360" w:lineRule="auto"/>
        <w:ind w:left="-288"/>
        <w:rPr>
          <w:rFonts w:ascii="Georgia" w:hAnsi="Georgia"/>
          <w:color w:val="EE0000"/>
          <w:sz w:val="20"/>
          <w:szCs w:val="20"/>
        </w:rPr>
      </w:pPr>
    </w:p>
    <w:p w14:paraId="31F415A7" w14:textId="77777777" w:rsidR="00F17A71" w:rsidRPr="00F17A71" w:rsidRDefault="00F859D3" w:rsidP="00F17A71">
      <w:pPr>
        <w:spacing w:line="360" w:lineRule="auto"/>
        <w:ind w:left="-288"/>
        <w:rPr>
          <w:rFonts w:ascii="Georgia" w:hAnsi="Georgia"/>
          <w:color w:val="EE0000"/>
          <w:sz w:val="20"/>
          <w:szCs w:val="20"/>
        </w:rPr>
      </w:pPr>
      <w:r>
        <w:rPr>
          <w:rFonts w:ascii="Georgia" w:hAnsi="Georgia"/>
          <w:b/>
          <w:bCs/>
          <w:color w:val="002855"/>
          <w:sz w:val="20"/>
          <w:szCs w:val="20"/>
        </w:rPr>
        <w:t>PRIVATE CREDIT</w:t>
      </w:r>
      <w:r w:rsidRPr="004E721E">
        <w:rPr>
          <w:rFonts w:ascii="Georgia" w:hAnsi="Georgia"/>
          <w:b/>
          <w:bCs/>
          <w:color w:val="002855"/>
          <w:sz w:val="20"/>
          <w:szCs w:val="20"/>
        </w:rPr>
        <w:t>:</w:t>
      </w:r>
      <w:r w:rsidRPr="004A2C19">
        <w:rPr>
          <w:rFonts w:ascii="Georgia" w:hAnsi="Georgia"/>
          <w:sz w:val="20"/>
          <w:szCs w:val="20"/>
        </w:rPr>
        <w:t xml:space="preserve"> </w:t>
      </w:r>
      <w:r w:rsidR="00F17A71" w:rsidRPr="004A2C19">
        <w:rPr>
          <w:rFonts w:ascii="Georgia" w:hAnsi="Georgia"/>
          <w:sz w:val="20"/>
          <w:szCs w:val="20"/>
        </w:rPr>
        <w:t>The return forecast is meant to represent the direct lending investment space, and as such, we used a sum-of-the-parts methodology akin to how credit deals are built. The return forecast begins with our cash assumption as a proxy for the Secured Overnight Financing Rate (SOFR), and adds the current credit spread of the Morningstar LSTA U.S. Leveraged Loans Index as a proxy for credit risk. The average default rate of this index and recovery rates using pitchbook data are also incorporated. Original Issue Discount, or underwriting fee, is an observed average using individual deal data from Pitchbook, amortized over 5 years. An illiquidity premium was applied as the difference in average credit spread of private markets deals from pitchbook and average weekly credit spread from the Morningstar LSTA U.S. Leveraged Loans Index. The sum of these parts was multiplied by one turn of leverage, which is common amongst investment managers in the asset class. Management fee, carried interest, and the cost of leverage were then applied to reach the net expected return assumption. For purposes of measuring historical risk exposures and correlations to other asset classes, the Morningstar LSTA U.S. Leveraged Loans Index is used as the proxy. The return, risk, correlation, skewness and kurtosis assumptions are expected to differ on a strategy-by-strategy basis.</w:t>
      </w:r>
    </w:p>
    <w:p w14:paraId="7BEF6C13" w14:textId="77777777" w:rsidR="00F17A71" w:rsidRPr="00F17A71" w:rsidRDefault="00F17A71" w:rsidP="00F17A71">
      <w:pPr>
        <w:spacing w:line="360" w:lineRule="auto"/>
        <w:ind w:left="-288"/>
        <w:rPr>
          <w:rFonts w:ascii="Georgia" w:hAnsi="Georgia"/>
          <w:color w:val="EE0000"/>
          <w:sz w:val="20"/>
          <w:szCs w:val="20"/>
        </w:rPr>
      </w:pPr>
    </w:p>
    <w:tbl>
      <w:tblPr>
        <w:tblStyle w:val="TableGrid"/>
        <w:tblW w:w="0" w:type="auto"/>
        <w:tblInd w:w="-275" w:type="dxa"/>
        <w:tblLook w:val="04A0" w:firstRow="1" w:lastRow="0" w:firstColumn="1" w:lastColumn="0" w:noHBand="0" w:noVBand="1"/>
      </w:tblPr>
      <w:tblGrid>
        <w:gridCol w:w="3388"/>
        <w:gridCol w:w="807"/>
      </w:tblGrid>
      <w:tr w:rsidR="00253DE6" w:rsidRPr="00253DE6" w14:paraId="3A6AB930" w14:textId="77777777" w:rsidTr="00861116">
        <w:trPr>
          <w:trHeight w:val="291"/>
        </w:trPr>
        <w:tc>
          <w:tcPr>
            <w:tcW w:w="3388" w:type="dxa"/>
          </w:tcPr>
          <w:p w14:paraId="00E69E2F" w14:textId="77777777" w:rsidR="00253DE6" w:rsidRPr="00253DE6" w:rsidRDefault="00253DE6" w:rsidP="00253DE6">
            <w:pPr>
              <w:tabs>
                <w:tab w:val="left" w:pos="-720"/>
                <w:tab w:val="left" w:pos="1350"/>
              </w:tabs>
              <w:rPr>
                <w:rFonts w:ascii="Georgia" w:eastAsia="MS Mincho" w:hAnsi="Georgia" w:cs="Times New Roman"/>
                <w:b/>
                <w:bCs/>
                <w:sz w:val="20"/>
                <w:szCs w:val="20"/>
              </w:rPr>
            </w:pPr>
            <w:r w:rsidRPr="00253DE6">
              <w:rPr>
                <w:rFonts w:ascii="Georgia" w:eastAsia="MS Mincho" w:hAnsi="Georgia" w:cs="Times New Roman"/>
                <w:b/>
                <w:bCs/>
                <w:sz w:val="20"/>
                <w:szCs w:val="20"/>
              </w:rPr>
              <w:t>Component</w:t>
            </w:r>
          </w:p>
        </w:tc>
        <w:tc>
          <w:tcPr>
            <w:tcW w:w="807" w:type="dxa"/>
          </w:tcPr>
          <w:p w14:paraId="2A4F2C7E" w14:textId="77777777" w:rsidR="00253DE6" w:rsidRPr="00253DE6" w:rsidRDefault="00253DE6" w:rsidP="00253DE6">
            <w:pPr>
              <w:tabs>
                <w:tab w:val="left" w:pos="-720"/>
                <w:tab w:val="left" w:pos="1350"/>
              </w:tabs>
              <w:jc w:val="center"/>
              <w:rPr>
                <w:rFonts w:ascii="Georgia" w:eastAsia="MS Mincho" w:hAnsi="Georgia" w:cs="Times New Roman"/>
                <w:b/>
                <w:bCs/>
                <w:sz w:val="20"/>
                <w:szCs w:val="20"/>
              </w:rPr>
            </w:pPr>
            <w:r w:rsidRPr="00253DE6">
              <w:rPr>
                <w:rFonts w:ascii="Georgia" w:eastAsia="MS Mincho" w:hAnsi="Georgia" w:cs="Times New Roman"/>
                <w:b/>
                <w:bCs/>
                <w:sz w:val="20"/>
                <w:szCs w:val="20"/>
              </w:rPr>
              <w:t>Value</w:t>
            </w:r>
          </w:p>
        </w:tc>
      </w:tr>
      <w:tr w:rsidR="00253DE6" w:rsidRPr="00253DE6" w14:paraId="7098FC13" w14:textId="77777777" w:rsidTr="00861116">
        <w:trPr>
          <w:trHeight w:val="279"/>
        </w:trPr>
        <w:tc>
          <w:tcPr>
            <w:tcW w:w="3388" w:type="dxa"/>
          </w:tcPr>
          <w:p w14:paraId="2B4F3C7F" w14:textId="77777777" w:rsidR="00253DE6" w:rsidRPr="00253DE6" w:rsidRDefault="00253DE6" w:rsidP="00253DE6">
            <w:pPr>
              <w:tabs>
                <w:tab w:val="left" w:pos="-720"/>
                <w:tab w:val="left" w:pos="1350"/>
              </w:tabs>
              <w:rPr>
                <w:rFonts w:ascii="Georgia" w:eastAsia="MS Mincho" w:hAnsi="Georgia" w:cs="Times New Roman"/>
                <w:sz w:val="20"/>
                <w:szCs w:val="20"/>
              </w:rPr>
            </w:pPr>
            <w:r w:rsidRPr="00253DE6">
              <w:rPr>
                <w:rFonts w:ascii="Georgia" w:eastAsia="MS Mincho" w:hAnsi="Georgia" w:cs="Times New Roman"/>
                <w:sz w:val="20"/>
                <w:szCs w:val="20"/>
              </w:rPr>
              <w:t>Cash Assumption</w:t>
            </w:r>
          </w:p>
        </w:tc>
        <w:tc>
          <w:tcPr>
            <w:tcW w:w="807" w:type="dxa"/>
          </w:tcPr>
          <w:p w14:paraId="19D08C09" w14:textId="43CD008D" w:rsidR="00253DE6" w:rsidRPr="00472DBB" w:rsidRDefault="00253DE6" w:rsidP="00253DE6">
            <w:pPr>
              <w:tabs>
                <w:tab w:val="left" w:pos="-720"/>
                <w:tab w:val="left" w:pos="1350"/>
              </w:tabs>
              <w:jc w:val="center"/>
              <w:rPr>
                <w:rFonts w:ascii="Georgia" w:eastAsia="MS Mincho" w:hAnsi="Georgia" w:cs="Times New Roman"/>
                <w:sz w:val="20"/>
                <w:szCs w:val="20"/>
              </w:rPr>
            </w:pPr>
            <w:r w:rsidRPr="00472DBB">
              <w:rPr>
                <w:rFonts w:ascii="Georgia" w:eastAsia="MS Mincho" w:hAnsi="Georgia" w:cs="Times New Roman"/>
                <w:sz w:val="20"/>
                <w:szCs w:val="20"/>
              </w:rPr>
              <w:t>2.</w:t>
            </w:r>
            <w:r w:rsidR="00472DBB" w:rsidRPr="00472DBB">
              <w:rPr>
                <w:rFonts w:ascii="Georgia" w:eastAsia="MS Mincho" w:hAnsi="Georgia" w:cs="Times New Roman"/>
                <w:sz w:val="20"/>
                <w:szCs w:val="20"/>
              </w:rPr>
              <w:t>6</w:t>
            </w:r>
          </w:p>
        </w:tc>
      </w:tr>
      <w:tr w:rsidR="00253DE6" w:rsidRPr="00253DE6" w14:paraId="1B54D3A6" w14:textId="77777777" w:rsidTr="00861116">
        <w:trPr>
          <w:trHeight w:val="291"/>
        </w:trPr>
        <w:tc>
          <w:tcPr>
            <w:tcW w:w="3388" w:type="dxa"/>
          </w:tcPr>
          <w:p w14:paraId="380B57B1" w14:textId="77777777" w:rsidR="00253DE6" w:rsidRPr="00253DE6" w:rsidRDefault="00253DE6" w:rsidP="00253DE6">
            <w:pPr>
              <w:tabs>
                <w:tab w:val="left" w:pos="-720"/>
                <w:tab w:val="left" w:pos="1350"/>
              </w:tabs>
              <w:rPr>
                <w:rFonts w:ascii="Georgia" w:eastAsia="MS Mincho" w:hAnsi="Georgia" w:cs="Times New Roman"/>
                <w:sz w:val="20"/>
                <w:szCs w:val="20"/>
              </w:rPr>
            </w:pPr>
            <w:r w:rsidRPr="00253DE6">
              <w:rPr>
                <w:rFonts w:ascii="Georgia" w:eastAsia="MS Mincho" w:hAnsi="Georgia" w:cs="Times New Roman"/>
                <w:sz w:val="20"/>
                <w:szCs w:val="20"/>
              </w:rPr>
              <w:t>Leveraged Loans Spread</w:t>
            </w:r>
          </w:p>
        </w:tc>
        <w:tc>
          <w:tcPr>
            <w:tcW w:w="807" w:type="dxa"/>
          </w:tcPr>
          <w:p w14:paraId="263005A2" w14:textId="719F4F4D" w:rsidR="00253DE6" w:rsidRPr="00472DBB" w:rsidRDefault="00253DE6" w:rsidP="00253DE6">
            <w:pPr>
              <w:tabs>
                <w:tab w:val="left" w:pos="-720"/>
                <w:tab w:val="left" w:pos="1350"/>
              </w:tabs>
              <w:jc w:val="center"/>
              <w:rPr>
                <w:rFonts w:ascii="Georgia" w:eastAsia="MS Mincho" w:hAnsi="Georgia" w:cs="Times New Roman"/>
                <w:sz w:val="20"/>
                <w:szCs w:val="20"/>
              </w:rPr>
            </w:pPr>
            <w:r w:rsidRPr="00472DBB">
              <w:rPr>
                <w:rFonts w:ascii="Georgia" w:eastAsia="MS Mincho" w:hAnsi="Georgia" w:cs="Times New Roman"/>
                <w:sz w:val="20"/>
                <w:szCs w:val="20"/>
              </w:rPr>
              <w:t>4.</w:t>
            </w:r>
            <w:r w:rsidR="00472DBB" w:rsidRPr="00472DBB">
              <w:rPr>
                <w:rFonts w:ascii="Georgia" w:eastAsia="MS Mincho" w:hAnsi="Georgia" w:cs="Times New Roman"/>
                <w:sz w:val="20"/>
                <w:szCs w:val="20"/>
              </w:rPr>
              <w:t>3</w:t>
            </w:r>
          </w:p>
        </w:tc>
      </w:tr>
      <w:tr w:rsidR="00253DE6" w:rsidRPr="00253DE6" w14:paraId="12019AC0" w14:textId="77777777" w:rsidTr="00861116">
        <w:trPr>
          <w:trHeight w:val="291"/>
        </w:trPr>
        <w:tc>
          <w:tcPr>
            <w:tcW w:w="3388" w:type="dxa"/>
          </w:tcPr>
          <w:p w14:paraId="204838D6" w14:textId="77777777" w:rsidR="00253DE6" w:rsidRPr="00253DE6" w:rsidRDefault="00253DE6" w:rsidP="00253DE6">
            <w:pPr>
              <w:tabs>
                <w:tab w:val="left" w:pos="-720"/>
                <w:tab w:val="left" w:pos="1350"/>
              </w:tabs>
              <w:rPr>
                <w:rFonts w:ascii="Georgia" w:eastAsia="MS Mincho" w:hAnsi="Georgia" w:cs="Times New Roman"/>
                <w:sz w:val="20"/>
                <w:szCs w:val="20"/>
              </w:rPr>
            </w:pPr>
            <w:r w:rsidRPr="00253DE6">
              <w:rPr>
                <w:rFonts w:ascii="Georgia" w:eastAsia="MS Mincho" w:hAnsi="Georgia" w:cs="Times New Roman"/>
                <w:sz w:val="20"/>
                <w:szCs w:val="20"/>
              </w:rPr>
              <w:t>Default</w:t>
            </w:r>
          </w:p>
        </w:tc>
        <w:tc>
          <w:tcPr>
            <w:tcW w:w="807" w:type="dxa"/>
          </w:tcPr>
          <w:p w14:paraId="0DB91FB2" w14:textId="17D4D885" w:rsidR="00253DE6" w:rsidRPr="00472DBB" w:rsidRDefault="00253DE6" w:rsidP="00253DE6">
            <w:pPr>
              <w:tabs>
                <w:tab w:val="left" w:pos="-720"/>
                <w:tab w:val="left" w:pos="1350"/>
              </w:tabs>
              <w:jc w:val="center"/>
              <w:rPr>
                <w:rFonts w:ascii="Georgia" w:eastAsia="MS Mincho" w:hAnsi="Georgia" w:cs="Times New Roman"/>
                <w:color w:val="EE0000"/>
                <w:sz w:val="20"/>
                <w:szCs w:val="20"/>
              </w:rPr>
            </w:pPr>
            <w:r w:rsidRPr="00472DBB">
              <w:rPr>
                <w:rFonts w:ascii="Georgia" w:eastAsia="MS Mincho" w:hAnsi="Georgia" w:cs="Times New Roman"/>
                <w:sz w:val="20"/>
                <w:szCs w:val="20"/>
              </w:rPr>
              <w:t>(2.</w:t>
            </w:r>
            <w:r w:rsidR="00472DBB" w:rsidRPr="00472DBB">
              <w:rPr>
                <w:rFonts w:ascii="Georgia" w:eastAsia="MS Mincho" w:hAnsi="Georgia" w:cs="Times New Roman"/>
                <w:sz w:val="20"/>
                <w:szCs w:val="20"/>
              </w:rPr>
              <w:t>4</w:t>
            </w:r>
            <w:r w:rsidRPr="00472DBB">
              <w:rPr>
                <w:rFonts w:ascii="Georgia" w:eastAsia="MS Mincho" w:hAnsi="Georgia" w:cs="Times New Roman"/>
                <w:sz w:val="20"/>
                <w:szCs w:val="20"/>
              </w:rPr>
              <w:t>)</w:t>
            </w:r>
          </w:p>
        </w:tc>
      </w:tr>
      <w:tr w:rsidR="00253DE6" w:rsidRPr="00253DE6" w14:paraId="2CF27498" w14:textId="77777777" w:rsidTr="00861116">
        <w:trPr>
          <w:trHeight w:val="291"/>
        </w:trPr>
        <w:tc>
          <w:tcPr>
            <w:tcW w:w="3388" w:type="dxa"/>
          </w:tcPr>
          <w:p w14:paraId="629A7C3C" w14:textId="77777777" w:rsidR="00253DE6" w:rsidRPr="00472DBB" w:rsidRDefault="00253DE6" w:rsidP="00253DE6">
            <w:pPr>
              <w:tabs>
                <w:tab w:val="left" w:pos="-720"/>
                <w:tab w:val="left" w:pos="1350"/>
              </w:tabs>
              <w:rPr>
                <w:rFonts w:ascii="Georgia" w:eastAsia="MS Mincho" w:hAnsi="Georgia" w:cs="Times New Roman"/>
                <w:sz w:val="20"/>
                <w:szCs w:val="20"/>
              </w:rPr>
            </w:pPr>
            <w:r w:rsidRPr="00472DBB">
              <w:rPr>
                <w:rFonts w:ascii="Georgia" w:eastAsia="MS Mincho" w:hAnsi="Georgia" w:cs="Times New Roman"/>
                <w:sz w:val="20"/>
                <w:szCs w:val="20"/>
              </w:rPr>
              <w:t>Recovery</w:t>
            </w:r>
          </w:p>
        </w:tc>
        <w:tc>
          <w:tcPr>
            <w:tcW w:w="807" w:type="dxa"/>
          </w:tcPr>
          <w:p w14:paraId="5B9CE462" w14:textId="63B75540" w:rsidR="00253DE6" w:rsidRPr="00472DBB" w:rsidRDefault="00472DBB" w:rsidP="00253DE6">
            <w:pPr>
              <w:tabs>
                <w:tab w:val="left" w:pos="-720"/>
                <w:tab w:val="left" w:pos="1350"/>
              </w:tabs>
              <w:jc w:val="center"/>
              <w:rPr>
                <w:rFonts w:ascii="Georgia" w:eastAsia="MS Mincho" w:hAnsi="Georgia" w:cs="Times New Roman"/>
                <w:sz w:val="20"/>
                <w:szCs w:val="20"/>
              </w:rPr>
            </w:pPr>
            <w:r w:rsidRPr="00472DBB">
              <w:rPr>
                <w:rFonts w:ascii="Georgia" w:eastAsia="MS Mincho" w:hAnsi="Georgia" w:cs="Times New Roman"/>
                <w:sz w:val="20"/>
                <w:szCs w:val="20"/>
              </w:rPr>
              <w:t>1.5</w:t>
            </w:r>
          </w:p>
        </w:tc>
      </w:tr>
      <w:tr w:rsidR="00253DE6" w:rsidRPr="00253DE6" w14:paraId="5B29259C" w14:textId="77777777" w:rsidTr="00861116">
        <w:trPr>
          <w:trHeight w:val="279"/>
        </w:trPr>
        <w:tc>
          <w:tcPr>
            <w:tcW w:w="3388" w:type="dxa"/>
          </w:tcPr>
          <w:p w14:paraId="6C6FC1C2" w14:textId="77777777" w:rsidR="00253DE6" w:rsidRPr="00253DE6" w:rsidRDefault="00253DE6" w:rsidP="00253DE6">
            <w:pPr>
              <w:tabs>
                <w:tab w:val="left" w:pos="-720"/>
                <w:tab w:val="left" w:pos="1350"/>
              </w:tabs>
              <w:rPr>
                <w:rFonts w:ascii="Georgia" w:eastAsia="MS Mincho" w:hAnsi="Georgia" w:cs="Times New Roman"/>
                <w:sz w:val="20"/>
                <w:szCs w:val="20"/>
              </w:rPr>
            </w:pPr>
            <w:r w:rsidRPr="00253DE6">
              <w:rPr>
                <w:rFonts w:ascii="Georgia" w:eastAsia="MS Mincho" w:hAnsi="Georgia" w:cs="Times New Roman"/>
                <w:sz w:val="20"/>
                <w:szCs w:val="20"/>
              </w:rPr>
              <w:t>Original Issue Discount</w:t>
            </w:r>
          </w:p>
        </w:tc>
        <w:tc>
          <w:tcPr>
            <w:tcW w:w="807" w:type="dxa"/>
          </w:tcPr>
          <w:p w14:paraId="166927D0" w14:textId="77777777" w:rsidR="00253DE6" w:rsidRPr="00472DBB" w:rsidRDefault="00253DE6" w:rsidP="00253DE6">
            <w:pPr>
              <w:tabs>
                <w:tab w:val="left" w:pos="-720"/>
                <w:tab w:val="left" w:pos="1350"/>
              </w:tabs>
              <w:jc w:val="center"/>
              <w:rPr>
                <w:rFonts w:ascii="Georgia" w:eastAsia="MS Mincho" w:hAnsi="Georgia" w:cs="Times New Roman"/>
                <w:color w:val="EE0000"/>
                <w:sz w:val="20"/>
                <w:szCs w:val="20"/>
              </w:rPr>
            </w:pPr>
            <w:r w:rsidRPr="00472DBB">
              <w:rPr>
                <w:rFonts w:ascii="Georgia" w:eastAsia="MS Mincho" w:hAnsi="Georgia" w:cs="Times New Roman"/>
                <w:sz w:val="20"/>
                <w:szCs w:val="20"/>
              </w:rPr>
              <w:t>0.5</w:t>
            </w:r>
          </w:p>
        </w:tc>
      </w:tr>
      <w:tr w:rsidR="00253DE6" w:rsidRPr="00253DE6" w14:paraId="29C3886A" w14:textId="77777777" w:rsidTr="00861116">
        <w:trPr>
          <w:trHeight w:val="291"/>
        </w:trPr>
        <w:tc>
          <w:tcPr>
            <w:tcW w:w="3388" w:type="dxa"/>
          </w:tcPr>
          <w:p w14:paraId="5494C3B6" w14:textId="77777777" w:rsidR="00253DE6" w:rsidRPr="00472DBB" w:rsidRDefault="00253DE6" w:rsidP="00253DE6">
            <w:pPr>
              <w:tabs>
                <w:tab w:val="left" w:pos="-720"/>
                <w:tab w:val="left" w:pos="1350"/>
              </w:tabs>
              <w:rPr>
                <w:rFonts w:ascii="Georgia" w:eastAsia="MS Mincho" w:hAnsi="Georgia" w:cs="Times New Roman"/>
                <w:sz w:val="20"/>
                <w:szCs w:val="20"/>
              </w:rPr>
            </w:pPr>
            <w:r w:rsidRPr="00472DBB">
              <w:rPr>
                <w:rFonts w:ascii="Georgia" w:eastAsia="MS Mincho" w:hAnsi="Georgia" w:cs="Times New Roman"/>
                <w:sz w:val="20"/>
                <w:szCs w:val="20"/>
              </w:rPr>
              <w:t>Illiquidity Premium</w:t>
            </w:r>
          </w:p>
        </w:tc>
        <w:tc>
          <w:tcPr>
            <w:tcW w:w="807" w:type="dxa"/>
          </w:tcPr>
          <w:p w14:paraId="6A25087D" w14:textId="58313CB2" w:rsidR="00253DE6" w:rsidRPr="00472DBB" w:rsidRDefault="00253DE6" w:rsidP="00253DE6">
            <w:pPr>
              <w:tabs>
                <w:tab w:val="left" w:pos="-720"/>
                <w:tab w:val="left" w:pos="1350"/>
              </w:tabs>
              <w:jc w:val="center"/>
              <w:rPr>
                <w:rFonts w:ascii="Georgia" w:eastAsia="MS Mincho" w:hAnsi="Georgia" w:cs="Times New Roman"/>
                <w:sz w:val="20"/>
                <w:szCs w:val="20"/>
              </w:rPr>
            </w:pPr>
            <w:r w:rsidRPr="00472DBB">
              <w:rPr>
                <w:rFonts w:ascii="Georgia" w:eastAsia="MS Mincho" w:hAnsi="Georgia" w:cs="Times New Roman"/>
                <w:sz w:val="20"/>
                <w:szCs w:val="20"/>
              </w:rPr>
              <w:t>1.</w:t>
            </w:r>
            <w:r w:rsidR="00472DBB" w:rsidRPr="00472DBB">
              <w:rPr>
                <w:rFonts w:ascii="Georgia" w:eastAsia="MS Mincho" w:hAnsi="Georgia" w:cs="Times New Roman"/>
                <w:sz w:val="20"/>
                <w:szCs w:val="20"/>
              </w:rPr>
              <w:t>1</w:t>
            </w:r>
          </w:p>
        </w:tc>
      </w:tr>
      <w:tr w:rsidR="00253DE6" w:rsidRPr="00253DE6" w14:paraId="08035C11" w14:textId="77777777" w:rsidTr="00861116">
        <w:trPr>
          <w:trHeight w:val="291"/>
        </w:trPr>
        <w:tc>
          <w:tcPr>
            <w:tcW w:w="3388" w:type="dxa"/>
            <w:tcBorders>
              <w:bottom w:val="single" w:sz="4" w:space="0" w:color="auto"/>
            </w:tcBorders>
          </w:tcPr>
          <w:p w14:paraId="4D551EA7" w14:textId="77777777" w:rsidR="00253DE6" w:rsidRPr="00472DBB" w:rsidRDefault="00253DE6" w:rsidP="00253DE6">
            <w:pPr>
              <w:tabs>
                <w:tab w:val="left" w:pos="-720"/>
                <w:tab w:val="left" w:pos="1350"/>
              </w:tabs>
              <w:ind w:left="160"/>
              <w:rPr>
                <w:rFonts w:ascii="Georgia" w:eastAsia="MS Mincho" w:hAnsi="Georgia" w:cs="Times New Roman"/>
                <w:i/>
                <w:iCs/>
                <w:sz w:val="20"/>
                <w:szCs w:val="20"/>
              </w:rPr>
            </w:pPr>
            <w:r w:rsidRPr="00472DBB">
              <w:rPr>
                <w:rFonts w:ascii="Georgia" w:eastAsia="MS Mincho" w:hAnsi="Georgia" w:cs="Times New Roman"/>
                <w:i/>
                <w:iCs/>
                <w:sz w:val="20"/>
                <w:szCs w:val="20"/>
              </w:rPr>
              <w:t>Gross Unlevered Return</w:t>
            </w:r>
          </w:p>
        </w:tc>
        <w:tc>
          <w:tcPr>
            <w:tcW w:w="807" w:type="dxa"/>
            <w:tcBorders>
              <w:bottom w:val="single" w:sz="4" w:space="0" w:color="auto"/>
            </w:tcBorders>
          </w:tcPr>
          <w:p w14:paraId="5585C5D5" w14:textId="35BDC939" w:rsidR="00253DE6" w:rsidRPr="00472DBB" w:rsidRDefault="00253DE6" w:rsidP="00253DE6">
            <w:pPr>
              <w:tabs>
                <w:tab w:val="left" w:pos="-720"/>
                <w:tab w:val="left" w:pos="1350"/>
              </w:tabs>
              <w:jc w:val="center"/>
              <w:rPr>
                <w:rFonts w:ascii="Georgia" w:eastAsia="MS Mincho" w:hAnsi="Georgia" w:cs="Times New Roman"/>
                <w:i/>
                <w:iCs/>
                <w:sz w:val="20"/>
                <w:szCs w:val="20"/>
              </w:rPr>
            </w:pPr>
            <w:r w:rsidRPr="00472DBB">
              <w:rPr>
                <w:rFonts w:ascii="Georgia" w:eastAsia="MS Mincho" w:hAnsi="Georgia" w:cs="Times New Roman"/>
                <w:i/>
                <w:iCs/>
                <w:sz w:val="20"/>
                <w:szCs w:val="20"/>
              </w:rPr>
              <w:t>7.</w:t>
            </w:r>
            <w:r w:rsidR="00472DBB" w:rsidRPr="00472DBB">
              <w:rPr>
                <w:rFonts w:ascii="Georgia" w:eastAsia="MS Mincho" w:hAnsi="Georgia" w:cs="Times New Roman"/>
                <w:i/>
                <w:iCs/>
                <w:sz w:val="20"/>
                <w:szCs w:val="20"/>
              </w:rPr>
              <w:t>6</w:t>
            </w:r>
          </w:p>
        </w:tc>
      </w:tr>
      <w:tr w:rsidR="00253DE6" w:rsidRPr="00253DE6" w14:paraId="4B021A82" w14:textId="77777777" w:rsidTr="00861116">
        <w:trPr>
          <w:trHeight w:val="291"/>
        </w:trPr>
        <w:tc>
          <w:tcPr>
            <w:tcW w:w="3388" w:type="dxa"/>
            <w:tcBorders>
              <w:top w:val="single" w:sz="4" w:space="0" w:color="auto"/>
            </w:tcBorders>
          </w:tcPr>
          <w:p w14:paraId="03EFA9EF" w14:textId="77777777" w:rsidR="00253DE6" w:rsidRPr="00472DBB" w:rsidRDefault="00253DE6" w:rsidP="00253DE6">
            <w:pPr>
              <w:tabs>
                <w:tab w:val="left" w:pos="-720"/>
                <w:tab w:val="left" w:pos="1350"/>
              </w:tabs>
              <w:ind w:left="-20"/>
              <w:rPr>
                <w:rFonts w:ascii="Georgia" w:eastAsia="MS Mincho" w:hAnsi="Georgia" w:cs="Times New Roman"/>
                <w:sz w:val="20"/>
                <w:szCs w:val="20"/>
              </w:rPr>
            </w:pPr>
            <w:r w:rsidRPr="00472DBB">
              <w:rPr>
                <w:rFonts w:ascii="Georgia" w:eastAsia="MS Mincho" w:hAnsi="Georgia" w:cs="Times New Roman"/>
                <w:sz w:val="20"/>
                <w:szCs w:val="20"/>
              </w:rPr>
              <w:t xml:space="preserve">Gross Levered Return (1:1) </w:t>
            </w:r>
          </w:p>
        </w:tc>
        <w:tc>
          <w:tcPr>
            <w:tcW w:w="807" w:type="dxa"/>
            <w:tcBorders>
              <w:top w:val="single" w:sz="4" w:space="0" w:color="auto"/>
            </w:tcBorders>
          </w:tcPr>
          <w:p w14:paraId="1C56DA51" w14:textId="61559D80" w:rsidR="00253DE6" w:rsidRPr="00472DBB" w:rsidRDefault="00253DE6" w:rsidP="00253DE6">
            <w:pPr>
              <w:tabs>
                <w:tab w:val="left" w:pos="-720"/>
                <w:tab w:val="left" w:pos="1350"/>
              </w:tabs>
              <w:jc w:val="center"/>
              <w:rPr>
                <w:rFonts w:ascii="Georgia" w:eastAsia="MS Mincho" w:hAnsi="Georgia" w:cs="Times New Roman"/>
                <w:i/>
                <w:iCs/>
                <w:sz w:val="20"/>
                <w:szCs w:val="20"/>
              </w:rPr>
            </w:pPr>
            <w:r w:rsidRPr="00472DBB">
              <w:rPr>
                <w:rFonts w:ascii="Georgia" w:eastAsia="MS Mincho" w:hAnsi="Georgia" w:cs="Times New Roman"/>
                <w:i/>
                <w:iCs/>
                <w:sz w:val="20"/>
                <w:szCs w:val="20"/>
              </w:rPr>
              <w:t>15.</w:t>
            </w:r>
            <w:r w:rsidR="00472DBB" w:rsidRPr="00472DBB">
              <w:rPr>
                <w:rFonts w:ascii="Georgia" w:eastAsia="MS Mincho" w:hAnsi="Georgia" w:cs="Times New Roman"/>
                <w:i/>
                <w:iCs/>
                <w:sz w:val="20"/>
                <w:szCs w:val="20"/>
              </w:rPr>
              <w:t>2</w:t>
            </w:r>
          </w:p>
        </w:tc>
      </w:tr>
      <w:tr w:rsidR="00253DE6" w:rsidRPr="00253DE6" w14:paraId="159E7FC4" w14:textId="77777777" w:rsidTr="00861116">
        <w:trPr>
          <w:trHeight w:val="291"/>
        </w:trPr>
        <w:tc>
          <w:tcPr>
            <w:tcW w:w="3388" w:type="dxa"/>
          </w:tcPr>
          <w:p w14:paraId="2ABFD933" w14:textId="77777777" w:rsidR="00253DE6" w:rsidRPr="00472DBB" w:rsidRDefault="00253DE6" w:rsidP="00253DE6">
            <w:pPr>
              <w:tabs>
                <w:tab w:val="left" w:pos="-720"/>
                <w:tab w:val="left" w:pos="1350"/>
              </w:tabs>
              <w:rPr>
                <w:rFonts w:ascii="Georgia" w:eastAsia="MS Mincho" w:hAnsi="Georgia" w:cs="Times New Roman"/>
                <w:sz w:val="20"/>
                <w:szCs w:val="20"/>
              </w:rPr>
            </w:pPr>
            <w:r w:rsidRPr="00472DBB">
              <w:rPr>
                <w:rFonts w:ascii="Georgia" w:eastAsia="MS Mincho" w:hAnsi="Georgia" w:cs="Times New Roman"/>
                <w:sz w:val="20"/>
                <w:szCs w:val="20"/>
              </w:rPr>
              <w:t>Fees (from Fee Calculation)</w:t>
            </w:r>
          </w:p>
        </w:tc>
        <w:tc>
          <w:tcPr>
            <w:tcW w:w="807" w:type="dxa"/>
          </w:tcPr>
          <w:p w14:paraId="1CFC498E" w14:textId="77777777" w:rsidR="00253DE6" w:rsidRPr="00472DBB" w:rsidRDefault="00253DE6" w:rsidP="00253DE6">
            <w:pPr>
              <w:tabs>
                <w:tab w:val="left" w:pos="-720"/>
                <w:tab w:val="left" w:pos="1350"/>
              </w:tabs>
              <w:jc w:val="center"/>
              <w:rPr>
                <w:rFonts w:ascii="Georgia" w:eastAsia="MS Mincho" w:hAnsi="Georgia" w:cs="Times New Roman"/>
                <w:sz w:val="20"/>
                <w:szCs w:val="20"/>
              </w:rPr>
            </w:pPr>
            <w:r w:rsidRPr="00472DBB">
              <w:rPr>
                <w:rFonts w:ascii="Georgia" w:eastAsia="MS Mincho" w:hAnsi="Georgia" w:cs="Times New Roman"/>
                <w:sz w:val="20"/>
                <w:szCs w:val="20"/>
              </w:rPr>
              <w:t>(2.6)</w:t>
            </w:r>
          </w:p>
        </w:tc>
      </w:tr>
      <w:tr w:rsidR="00253DE6" w:rsidRPr="00253DE6" w14:paraId="5650FB2D" w14:textId="77777777" w:rsidTr="00861116">
        <w:trPr>
          <w:trHeight w:val="291"/>
        </w:trPr>
        <w:tc>
          <w:tcPr>
            <w:tcW w:w="3388" w:type="dxa"/>
          </w:tcPr>
          <w:p w14:paraId="7C983800" w14:textId="77777777" w:rsidR="00253DE6" w:rsidRPr="00472DBB" w:rsidRDefault="00253DE6" w:rsidP="00253DE6">
            <w:pPr>
              <w:tabs>
                <w:tab w:val="left" w:pos="-720"/>
                <w:tab w:val="left" w:pos="1350"/>
              </w:tabs>
              <w:rPr>
                <w:rFonts w:ascii="Georgia" w:eastAsia="MS Mincho" w:hAnsi="Georgia" w:cs="Times New Roman"/>
                <w:sz w:val="20"/>
                <w:szCs w:val="20"/>
              </w:rPr>
            </w:pPr>
            <w:r w:rsidRPr="00472DBB">
              <w:rPr>
                <w:rFonts w:ascii="Georgia" w:eastAsia="MS Mincho" w:hAnsi="Georgia" w:cs="Times New Roman"/>
                <w:sz w:val="20"/>
                <w:szCs w:val="20"/>
              </w:rPr>
              <w:t>Cost of Leverage</w:t>
            </w:r>
          </w:p>
        </w:tc>
        <w:tc>
          <w:tcPr>
            <w:tcW w:w="807" w:type="dxa"/>
          </w:tcPr>
          <w:p w14:paraId="76A941DF" w14:textId="7DFF2664" w:rsidR="00253DE6" w:rsidRPr="00472DBB" w:rsidRDefault="00253DE6" w:rsidP="00253DE6">
            <w:pPr>
              <w:tabs>
                <w:tab w:val="left" w:pos="-720"/>
                <w:tab w:val="left" w:pos="1350"/>
              </w:tabs>
              <w:jc w:val="center"/>
              <w:rPr>
                <w:rFonts w:ascii="Georgia" w:eastAsia="MS Mincho" w:hAnsi="Georgia" w:cs="Times New Roman"/>
                <w:sz w:val="20"/>
                <w:szCs w:val="20"/>
              </w:rPr>
            </w:pPr>
            <w:r w:rsidRPr="00472DBB">
              <w:rPr>
                <w:rFonts w:ascii="Georgia" w:eastAsia="MS Mincho" w:hAnsi="Georgia" w:cs="Times New Roman"/>
                <w:sz w:val="20"/>
                <w:szCs w:val="20"/>
              </w:rPr>
              <w:t>(4.</w:t>
            </w:r>
            <w:r w:rsidR="00472DBB" w:rsidRPr="00472DBB">
              <w:rPr>
                <w:rFonts w:ascii="Georgia" w:eastAsia="MS Mincho" w:hAnsi="Georgia" w:cs="Times New Roman"/>
                <w:sz w:val="20"/>
                <w:szCs w:val="20"/>
              </w:rPr>
              <w:t>8</w:t>
            </w:r>
            <w:r w:rsidRPr="00472DBB">
              <w:rPr>
                <w:rFonts w:ascii="Georgia" w:eastAsia="MS Mincho" w:hAnsi="Georgia" w:cs="Times New Roman"/>
                <w:sz w:val="20"/>
                <w:szCs w:val="20"/>
              </w:rPr>
              <w:t>)</w:t>
            </w:r>
          </w:p>
        </w:tc>
      </w:tr>
      <w:tr w:rsidR="00253DE6" w:rsidRPr="00253DE6" w14:paraId="5DEA4348" w14:textId="77777777" w:rsidTr="00861116">
        <w:trPr>
          <w:trHeight w:val="291"/>
        </w:trPr>
        <w:tc>
          <w:tcPr>
            <w:tcW w:w="3388" w:type="dxa"/>
          </w:tcPr>
          <w:p w14:paraId="7BC0CE3A" w14:textId="77777777" w:rsidR="00253DE6" w:rsidRPr="00253DE6" w:rsidRDefault="00253DE6" w:rsidP="00253DE6">
            <w:pPr>
              <w:tabs>
                <w:tab w:val="left" w:pos="-720"/>
                <w:tab w:val="left" w:pos="1350"/>
              </w:tabs>
              <w:ind w:left="160"/>
              <w:rPr>
                <w:rFonts w:ascii="Georgia" w:eastAsia="MS Mincho" w:hAnsi="Georgia" w:cs="Times New Roman"/>
                <w:b/>
                <w:bCs/>
                <w:sz w:val="20"/>
                <w:szCs w:val="20"/>
              </w:rPr>
            </w:pPr>
            <w:r w:rsidRPr="00253DE6">
              <w:rPr>
                <w:rFonts w:ascii="Georgia" w:eastAsia="MS Mincho" w:hAnsi="Georgia" w:cs="Times New Roman"/>
                <w:b/>
                <w:bCs/>
                <w:sz w:val="20"/>
                <w:szCs w:val="20"/>
              </w:rPr>
              <w:t>Net Expected Return</w:t>
            </w:r>
          </w:p>
        </w:tc>
        <w:tc>
          <w:tcPr>
            <w:tcW w:w="807" w:type="dxa"/>
          </w:tcPr>
          <w:p w14:paraId="2EB481F4" w14:textId="6B20C9EC" w:rsidR="00253DE6" w:rsidRPr="00472DBB" w:rsidRDefault="00472DBB" w:rsidP="00253DE6">
            <w:pPr>
              <w:tabs>
                <w:tab w:val="left" w:pos="-720"/>
                <w:tab w:val="left" w:pos="1350"/>
              </w:tabs>
              <w:jc w:val="center"/>
              <w:rPr>
                <w:rFonts w:ascii="Georgia" w:eastAsia="MS Mincho" w:hAnsi="Georgia" w:cs="Times New Roman"/>
                <w:b/>
                <w:bCs/>
                <w:sz w:val="20"/>
                <w:szCs w:val="20"/>
              </w:rPr>
            </w:pPr>
            <w:r w:rsidRPr="00472DBB">
              <w:rPr>
                <w:rFonts w:ascii="Georgia" w:eastAsia="MS Mincho" w:hAnsi="Georgia" w:cs="Times New Roman"/>
                <w:b/>
                <w:bCs/>
                <w:sz w:val="20"/>
                <w:szCs w:val="20"/>
              </w:rPr>
              <w:t>7.9</w:t>
            </w:r>
          </w:p>
        </w:tc>
      </w:tr>
    </w:tbl>
    <w:tbl>
      <w:tblPr>
        <w:tblStyle w:val="TableGrid1"/>
        <w:tblpPr w:leftFromText="180" w:rightFromText="180" w:vertAnchor="text" w:horzAnchor="page" w:tblpX="5936" w:tblpY="-3558"/>
        <w:tblW w:w="0" w:type="auto"/>
        <w:tblLook w:val="04A0" w:firstRow="1" w:lastRow="0" w:firstColumn="1" w:lastColumn="0" w:noHBand="0" w:noVBand="1"/>
      </w:tblPr>
      <w:tblGrid>
        <w:gridCol w:w="3647"/>
        <w:gridCol w:w="756"/>
      </w:tblGrid>
      <w:tr w:rsidR="00861116" w:rsidRPr="005934F9" w14:paraId="08C5F91F" w14:textId="77777777" w:rsidTr="00861116">
        <w:trPr>
          <w:trHeight w:val="286"/>
        </w:trPr>
        <w:tc>
          <w:tcPr>
            <w:tcW w:w="3647" w:type="dxa"/>
          </w:tcPr>
          <w:p w14:paraId="1493964B" w14:textId="77777777" w:rsidR="00861116" w:rsidRPr="005934F9" w:rsidRDefault="00861116" w:rsidP="00861116">
            <w:pPr>
              <w:tabs>
                <w:tab w:val="left" w:pos="-720"/>
                <w:tab w:val="left" w:pos="1350"/>
              </w:tabs>
              <w:rPr>
                <w:rFonts w:ascii="Georgia" w:eastAsia="MS Mincho" w:hAnsi="Georgia" w:cs="Times New Roman"/>
                <w:b/>
                <w:bCs/>
                <w:sz w:val="20"/>
                <w:szCs w:val="20"/>
              </w:rPr>
            </w:pPr>
            <w:r w:rsidRPr="005934F9">
              <w:rPr>
                <w:rFonts w:ascii="Georgia" w:eastAsia="MS Mincho" w:hAnsi="Georgia" w:cs="Times New Roman"/>
                <w:b/>
                <w:bCs/>
                <w:sz w:val="20"/>
                <w:szCs w:val="20"/>
              </w:rPr>
              <w:t>Fee Calculation</w:t>
            </w:r>
          </w:p>
        </w:tc>
        <w:tc>
          <w:tcPr>
            <w:tcW w:w="756" w:type="dxa"/>
          </w:tcPr>
          <w:p w14:paraId="7CF97337" w14:textId="77777777" w:rsidR="00861116" w:rsidRPr="005934F9" w:rsidRDefault="00861116" w:rsidP="00861116">
            <w:pPr>
              <w:tabs>
                <w:tab w:val="left" w:pos="-720"/>
                <w:tab w:val="left" w:pos="1350"/>
              </w:tabs>
              <w:rPr>
                <w:rFonts w:ascii="Georgia" w:eastAsia="MS Mincho" w:hAnsi="Georgia" w:cs="Times New Roman"/>
                <w:sz w:val="20"/>
                <w:szCs w:val="20"/>
              </w:rPr>
            </w:pPr>
          </w:p>
        </w:tc>
      </w:tr>
      <w:tr w:rsidR="00861116" w:rsidRPr="005934F9" w14:paraId="796370A7" w14:textId="77777777" w:rsidTr="00861116">
        <w:trPr>
          <w:trHeight w:val="286"/>
        </w:trPr>
        <w:tc>
          <w:tcPr>
            <w:tcW w:w="3647" w:type="dxa"/>
          </w:tcPr>
          <w:p w14:paraId="2DF2E2B8" w14:textId="77777777" w:rsidR="00861116" w:rsidRPr="001D2C91" w:rsidRDefault="00861116" w:rsidP="00861116">
            <w:pPr>
              <w:tabs>
                <w:tab w:val="left" w:pos="-720"/>
                <w:tab w:val="left" w:pos="1350"/>
              </w:tabs>
              <w:rPr>
                <w:rFonts w:ascii="Georgia" w:eastAsia="MS Mincho" w:hAnsi="Georgia" w:cs="Times New Roman"/>
                <w:sz w:val="20"/>
                <w:szCs w:val="20"/>
              </w:rPr>
            </w:pPr>
            <w:r w:rsidRPr="001D2C91">
              <w:rPr>
                <w:rFonts w:ascii="Georgia" w:eastAsia="MS Mincho" w:hAnsi="Georgia" w:cs="Times New Roman"/>
                <w:sz w:val="20"/>
                <w:szCs w:val="20"/>
              </w:rPr>
              <w:t>Gross Levered Return</w:t>
            </w:r>
          </w:p>
        </w:tc>
        <w:tc>
          <w:tcPr>
            <w:tcW w:w="756" w:type="dxa"/>
          </w:tcPr>
          <w:p w14:paraId="59F0791F" w14:textId="77777777" w:rsidR="00861116" w:rsidRPr="001D2C91" w:rsidRDefault="00861116" w:rsidP="00861116">
            <w:pPr>
              <w:tabs>
                <w:tab w:val="left" w:pos="-720"/>
                <w:tab w:val="left" w:pos="1350"/>
              </w:tabs>
              <w:rPr>
                <w:rFonts w:ascii="Georgia" w:eastAsia="MS Mincho" w:hAnsi="Georgia" w:cs="Times New Roman"/>
                <w:sz w:val="20"/>
                <w:szCs w:val="20"/>
              </w:rPr>
            </w:pPr>
            <w:r w:rsidRPr="001D2C91">
              <w:rPr>
                <w:rFonts w:ascii="Georgia" w:eastAsia="MS Mincho" w:hAnsi="Georgia" w:cs="Times New Roman"/>
                <w:sz w:val="20"/>
                <w:szCs w:val="20"/>
              </w:rPr>
              <w:t>15.2</w:t>
            </w:r>
          </w:p>
        </w:tc>
      </w:tr>
      <w:tr w:rsidR="00861116" w:rsidRPr="005934F9" w14:paraId="398A66DB" w14:textId="77777777" w:rsidTr="00861116">
        <w:trPr>
          <w:trHeight w:val="286"/>
        </w:trPr>
        <w:tc>
          <w:tcPr>
            <w:tcW w:w="3647" w:type="dxa"/>
          </w:tcPr>
          <w:p w14:paraId="76E5A110" w14:textId="77777777" w:rsidR="00861116" w:rsidRPr="001D2C91" w:rsidRDefault="00861116" w:rsidP="00861116">
            <w:pPr>
              <w:tabs>
                <w:tab w:val="left" w:pos="-720"/>
                <w:tab w:val="left" w:pos="1350"/>
              </w:tabs>
              <w:rPr>
                <w:rFonts w:ascii="Georgia" w:eastAsia="MS Mincho" w:hAnsi="Georgia" w:cs="Times New Roman"/>
                <w:sz w:val="20"/>
                <w:szCs w:val="20"/>
              </w:rPr>
            </w:pPr>
            <w:r w:rsidRPr="001D2C91">
              <w:rPr>
                <w:rFonts w:ascii="Georgia" w:eastAsia="MS Mincho" w:hAnsi="Georgia" w:cs="Times New Roman"/>
                <w:sz w:val="20"/>
                <w:szCs w:val="20"/>
              </w:rPr>
              <w:t>Net of Financing Cost</w:t>
            </w:r>
          </w:p>
        </w:tc>
        <w:tc>
          <w:tcPr>
            <w:tcW w:w="756" w:type="dxa"/>
          </w:tcPr>
          <w:p w14:paraId="6260E051" w14:textId="77777777" w:rsidR="00861116" w:rsidRPr="001D2C91" w:rsidRDefault="00861116" w:rsidP="00861116">
            <w:pPr>
              <w:tabs>
                <w:tab w:val="left" w:pos="-720"/>
                <w:tab w:val="left" w:pos="1350"/>
              </w:tabs>
              <w:rPr>
                <w:rFonts w:ascii="Georgia" w:eastAsia="MS Mincho" w:hAnsi="Georgia" w:cs="Times New Roman"/>
                <w:sz w:val="20"/>
                <w:szCs w:val="20"/>
              </w:rPr>
            </w:pPr>
            <w:r w:rsidRPr="001D2C91">
              <w:rPr>
                <w:rFonts w:ascii="Georgia" w:eastAsia="MS Mincho" w:hAnsi="Georgia" w:cs="Times New Roman"/>
                <w:sz w:val="20"/>
                <w:szCs w:val="20"/>
              </w:rPr>
              <w:t>10.4</w:t>
            </w:r>
          </w:p>
        </w:tc>
      </w:tr>
      <w:tr w:rsidR="00861116" w:rsidRPr="005934F9" w14:paraId="43F247E2" w14:textId="77777777" w:rsidTr="00861116">
        <w:trPr>
          <w:trHeight w:val="286"/>
        </w:trPr>
        <w:tc>
          <w:tcPr>
            <w:tcW w:w="3647" w:type="dxa"/>
          </w:tcPr>
          <w:p w14:paraId="0D98BAD3" w14:textId="77777777" w:rsidR="00861116" w:rsidRPr="001D2C91" w:rsidRDefault="00861116" w:rsidP="00861116">
            <w:pPr>
              <w:tabs>
                <w:tab w:val="left" w:pos="-720"/>
                <w:tab w:val="left" w:pos="1350"/>
              </w:tabs>
              <w:ind w:left="160"/>
              <w:rPr>
                <w:rFonts w:ascii="Georgia" w:eastAsia="MS Mincho" w:hAnsi="Georgia" w:cs="Times New Roman"/>
                <w:sz w:val="20"/>
                <w:szCs w:val="20"/>
              </w:rPr>
            </w:pPr>
            <w:r w:rsidRPr="001D2C91">
              <w:rPr>
                <w:rFonts w:ascii="Georgia" w:eastAsia="MS Mincho" w:hAnsi="Georgia" w:cs="Times New Roman"/>
                <w:sz w:val="20"/>
                <w:szCs w:val="20"/>
              </w:rPr>
              <w:t>15% Carried Interest</w:t>
            </w:r>
          </w:p>
        </w:tc>
        <w:tc>
          <w:tcPr>
            <w:tcW w:w="756" w:type="dxa"/>
          </w:tcPr>
          <w:p w14:paraId="3743ED45" w14:textId="77777777" w:rsidR="00861116" w:rsidRPr="001D2C91" w:rsidRDefault="00861116" w:rsidP="00861116">
            <w:pPr>
              <w:tabs>
                <w:tab w:val="left" w:pos="-720"/>
                <w:tab w:val="left" w:pos="1350"/>
              </w:tabs>
              <w:rPr>
                <w:rFonts w:ascii="Georgia" w:eastAsia="MS Mincho" w:hAnsi="Georgia" w:cs="Times New Roman"/>
                <w:sz w:val="20"/>
                <w:szCs w:val="20"/>
              </w:rPr>
            </w:pPr>
            <w:r w:rsidRPr="001D2C91">
              <w:rPr>
                <w:rFonts w:ascii="Georgia" w:eastAsia="MS Mincho" w:hAnsi="Georgia" w:cs="Times New Roman"/>
                <w:sz w:val="20"/>
                <w:szCs w:val="20"/>
              </w:rPr>
              <w:t>1.6</w:t>
            </w:r>
          </w:p>
        </w:tc>
      </w:tr>
      <w:tr w:rsidR="00861116" w:rsidRPr="005934F9" w14:paraId="64D177A8" w14:textId="77777777" w:rsidTr="00861116">
        <w:trPr>
          <w:trHeight w:val="286"/>
        </w:trPr>
        <w:tc>
          <w:tcPr>
            <w:tcW w:w="3647" w:type="dxa"/>
          </w:tcPr>
          <w:p w14:paraId="40BC7E72" w14:textId="77777777" w:rsidR="00861116" w:rsidRPr="001D2C91" w:rsidRDefault="00861116" w:rsidP="00861116">
            <w:pPr>
              <w:tabs>
                <w:tab w:val="left" w:pos="-720"/>
                <w:tab w:val="left" w:pos="1350"/>
              </w:tabs>
              <w:rPr>
                <w:rFonts w:ascii="Georgia" w:eastAsia="MS Mincho" w:hAnsi="Georgia" w:cs="Times New Roman"/>
                <w:sz w:val="20"/>
                <w:szCs w:val="20"/>
              </w:rPr>
            </w:pPr>
            <w:r w:rsidRPr="001D2C91">
              <w:rPr>
                <w:rFonts w:ascii="Georgia" w:eastAsia="MS Mincho" w:hAnsi="Georgia" w:cs="Times New Roman"/>
                <w:sz w:val="20"/>
                <w:szCs w:val="20"/>
              </w:rPr>
              <w:t>Management Fee</w:t>
            </w:r>
          </w:p>
        </w:tc>
        <w:tc>
          <w:tcPr>
            <w:tcW w:w="756" w:type="dxa"/>
          </w:tcPr>
          <w:p w14:paraId="1A4BB0FC" w14:textId="77777777" w:rsidR="00861116" w:rsidRPr="001D2C91" w:rsidRDefault="00861116" w:rsidP="00861116">
            <w:pPr>
              <w:tabs>
                <w:tab w:val="left" w:pos="-720"/>
                <w:tab w:val="left" w:pos="1350"/>
              </w:tabs>
              <w:rPr>
                <w:rFonts w:ascii="Georgia" w:eastAsia="MS Mincho" w:hAnsi="Georgia" w:cs="Times New Roman"/>
                <w:sz w:val="20"/>
                <w:szCs w:val="20"/>
              </w:rPr>
            </w:pPr>
            <w:r w:rsidRPr="001D2C91">
              <w:rPr>
                <w:rFonts w:ascii="Georgia" w:eastAsia="MS Mincho" w:hAnsi="Georgia" w:cs="Times New Roman"/>
                <w:sz w:val="20"/>
                <w:szCs w:val="20"/>
              </w:rPr>
              <w:t>1.0</w:t>
            </w:r>
          </w:p>
        </w:tc>
      </w:tr>
      <w:tr w:rsidR="00861116" w:rsidRPr="005934F9" w14:paraId="74E07BBB" w14:textId="77777777" w:rsidTr="00861116">
        <w:trPr>
          <w:trHeight w:val="274"/>
        </w:trPr>
        <w:tc>
          <w:tcPr>
            <w:tcW w:w="3647" w:type="dxa"/>
          </w:tcPr>
          <w:p w14:paraId="52E84624" w14:textId="77777777" w:rsidR="00861116" w:rsidRPr="001D2C91" w:rsidRDefault="00861116" w:rsidP="00861116">
            <w:pPr>
              <w:tabs>
                <w:tab w:val="left" w:pos="-720"/>
                <w:tab w:val="left" w:pos="1350"/>
              </w:tabs>
              <w:ind w:left="160"/>
              <w:rPr>
                <w:rFonts w:ascii="Georgia" w:eastAsia="MS Mincho" w:hAnsi="Georgia" w:cs="Times New Roman"/>
                <w:b/>
                <w:bCs/>
                <w:sz w:val="20"/>
                <w:szCs w:val="20"/>
              </w:rPr>
            </w:pPr>
            <w:r w:rsidRPr="001D2C91">
              <w:rPr>
                <w:rFonts w:ascii="Georgia" w:eastAsia="MS Mincho" w:hAnsi="Georgia" w:cs="Times New Roman"/>
                <w:b/>
                <w:bCs/>
                <w:sz w:val="20"/>
                <w:szCs w:val="20"/>
              </w:rPr>
              <w:t>Total Fee</w:t>
            </w:r>
          </w:p>
        </w:tc>
        <w:tc>
          <w:tcPr>
            <w:tcW w:w="756" w:type="dxa"/>
          </w:tcPr>
          <w:p w14:paraId="33D7B250" w14:textId="77777777" w:rsidR="00861116" w:rsidRPr="001D2C91" w:rsidRDefault="00861116" w:rsidP="00861116">
            <w:pPr>
              <w:tabs>
                <w:tab w:val="left" w:pos="-720"/>
                <w:tab w:val="left" w:pos="1350"/>
              </w:tabs>
              <w:rPr>
                <w:rFonts w:ascii="Georgia" w:eastAsia="MS Mincho" w:hAnsi="Georgia" w:cs="Times New Roman"/>
                <w:b/>
                <w:bCs/>
                <w:sz w:val="20"/>
                <w:szCs w:val="20"/>
              </w:rPr>
            </w:pPr>
            <w:r w:rsidRPr="001D2C91">
              <w:rPr>
                <w:rFonts w:ascii="Georgia" w:eastAsia="MS Mincho" w:hAnsi="Georgia" w:cs="Times New Roman"/>
                <w:b/>
                <w:bCs/>
                <w:sz w:val="20"/>
                <w:szCs w:val="20"/>
              </w:rPr>
              <w:t>2.6</w:t>
            </w:r>
          </w:p>
        </w:tc>
      </w:tr>
    </w:tbl>
    <w:p w14:paraId="7B44D167" w14:textId="77777777" w:rsidR="00F17A71" w:rsidRPr="00F17A71" w:rsidRDefault="00F17A71" w:rsidP="00F17A71">
      <w:pPr>
        <w:spacing w:line="360" w:lineRule="auto"/>
        <w:ind w:left="-288"/>
        <w:rPr>
          <w:rFonts w:ascii="Georgia" w:hAnsi="Georgia"/>
          <w:color w:val="EE0000"/>
          <w:sz w:val="20"/>
          <w:szCs w:val="20"/>
        </w:rPr>
      </w:pPr>
    </w:p>
    <w:p w14:paraId="2CDA574B" w14:textId="6F89E59B" w:rsidR="007D2EDD" w:rsidRPr="00472DBB" w:rsidRDefault="00F17A71" w:rsidP="00F17A71">
      <w:pPr>
        <w:spacing w:line="360" w:lineRule="auto"/>
        <w:ind w:left="-288"/>
        <w:rPr>
          <w:rFonts w:ascii="Georgia" w:hAnsi="Georgia"/>
          <w:b/>
          <w:bCs/>
          <w:sz w:val="20"/>
          <w:szCs w:val="20"/>
        </w:rPr>
      </w:pPr>
      <w:r w:rsidRPr="00472DBB">
        <w:rPr>
          <w:rFonts w:ascii="Georgia" w:hAnsi="Georgia"/>
          <w:b/>
          <w:bCs/>
          <w:sz w:val="20"/>
          <w:szCs w:val="20"/>
        </w:rPr>
        <w:t xml:space="preserve">10-Year Forecast of Annualized Geometric Return: </w:t>
      </w:r>
      <w:r w:rsidR="00472DBB" w:rsidRPr="00472DBB">
        <w:rPr>
          <w:rFonts w:ascii="Georgia" w:hAnsi="Georgia"/>
          <w:b/>
          <w:bCs/>
          <w:sz w:val="20"/>
          <w:szCs w:val="20"/>
        </w:rPr>
        <w:t>7.9</w:t>
      </w:r>
      <w:r w:rsidRPr="00472DBB">
        <w:rPr>
          <w:rFonts w:ascii="Georgia" w:hAnsi="Georgia"/>
          <w:b/>
          <w:bCs/>
          <w:sz w:val="20"/>
          <w:szCs w:val="20"/>
        </w:rPr>
        <w:t>%</w:t>
      </w:r>
    </w:p>
    <w:p w14:paraId="57E1134D" w14:textId="72CF8577" w:rsidR="007D2EDD" w:rsidRPr="00512232" w:rsidRDefault="00512232" w:rsidP="007D2EDD">
      <w:pPr>
        <w:spacing w:line="360" w:lineRule="auto"/>
        <w:ind w:left="-288"/>
        <w:rPr>
          <w:rFonts w:ascii="Georgia" w:hAnsi="Georgia"/>
          <w:i/>
          <w:iCs/>
          <w:sz w:val="16"/>
          <w:szCs w:val="16"/>
        </w:rPr>
      </w:pPr>
      <w:r w:rsidRPr="00512232">
        <w:rPr>
          <w:rFonts w:ascii="Georgia" w:hAnsi="Georgia"/>
          <w:i/>
          <w:iCs/>
          <w:sz w:val="16"/>
          <w:szCs w:val="16"/>
        </w:rPr>
        <w:t>Use of Indices and Benchmark Return Indices cannot be invested in directly. Index performance is reported gross of fees and expenses and assumes the reinvest dividends and capital gains. Past performance does not indicate future performance and there is a possibility of a loss. See disclosure page for indices representing each asset class.</w:t>
      </w:r>
    </w:p>
    <w:p w14:paraId="6D3EB3C7" w14:textId="77777777" w:rsidR="007D2EDD" w:rsidRDefault="007D2EDD" w:rsidP="007D2EDD">
      <w:pPr>
        <w:spacing w:line="360" w:lineRule="auto"/>
        <w:ind w:left="-288"/>
        <w:rPr>
          <w:rFonts w:ascii="Georgia" w:hAnsi="Georgia"/>
          <w:color w:val="EE0000"/>
          <w:sz w:val="20"/>
          <w:szCs w:val="20"/>
        </w:rPr>
      </w:pPr>
    </w:p>
    <w:p w14:paraId="48EA8394" w14:textId="77777777" w:rsidR="00996376" w:rsidRDefault="00996376" w:rsidP="007D2EDD">
      <w:pPr>
        <w:spacing w:line="360" w:lineRule="auto"/>
        <w:ind w:left="-288"/>
        <w:rPr>
          <w:rFonts w:ascii="Georgia" w:hAnsi="Georgia"/>
          <w:color w:val="EE0000"/>
          <w:sz w:val="20"/>
          <w:szCs w:val="20"/>
        </w:rPr>
      </w:pPr>
    </w:p>
    <w:p w14:paraId="565EFDAA" w14:textId="34813E69" w:rsidR="008C3A91" w:rsidRDefault="00747D09" w:rsidP="008C3A91">
      <w:pPr>
        <w:spacing w:line="360" w:lineRule="auto"/>
        <w:ind w:left="-288"/>
        <w:rPr>
          <w:rFonts w:ascii="Georgia" w:hAnsi="Georgia"/>
          <w:color w:val="EE0000"/>
          <w:sz w:val="20"/>
          <w:szCs w:val="20"/>
        </w:rPr>
      </w:pPr>
      <w:r w:rsidRPr="00C5273B">
        <w:rPr>
          <w:rFonts w:ascii="Georgia" w:eastAsia="MS Mincho" w:hAnsi="Georgia" w:cs="Times New Roman"/>
          <w:b/>
          <w:bCs/>
          <w:noProof/>
          <w:sz w:val="20"/>
          <w:szCs w:val="20"/>
          <w:u w:val="single"/>
        </w:rPr>
        <mc:AlternateContent>
          <mc:Choice Requires="wps">
            <w:drawing>
              <wp:anchor distT="45720" distB="45720" distL="114300" distR="114300" simplePos="0" relativeHeight="251641856" behindDoc="0" locked="0" layoutInCell="1" allowOverlap="1" wp14:anchorId="70D5DF2F" wp14:editId="7E974163">
                <wp:simplePos x="0" y="0"/>
                <wp:positionH relativeFrom="page">
                  <wp:posOffset>494665</wp:posOffset>
                </wp:positionH>
                <wp:positionV relativeFrom="paragraph">
                  <wp:posOffset>4610100</wp:posOffset>
                </wp:positionV>
                <wp:extent cx="6734175" cy="850265"/>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850265"/>
                        </a:xfrm>
                        <a:prstGeom prst="rect">
                          <a:avLst/>
                        </a:prstGeom>
                        <a:noFill/>
                        <a:ln w="9525">
                          <a:noFill/>
                          <a:miter lim="800000"/>
                          <a:headEnd/>
                          <a:tailEnd/>
                        </a:ln>
                      </wps:spPr>
                      <wps:txbx>
                        <w:txbxContent>
                          <w:p w14:paraId="6346014D" w14:textId="33E251B3" w:rsidR="00C5273B" w:rsidRPr="00B37E7B" w:rsidRDefault="00C5273B" w:rsidP="00C5273B">
                            <w:pPr>
                              <w:ind w:left="90"/>
                              <w:rPr>
                                <w:rFonts w:ascii="Georgia" w:hAnsi="Georgia" w:cs="Segoe UI"/>
                                <w:i/>
                                <w:iCs/>
                                <w:sz w:val="16"/>
                                <w:szCs w:val="16"/>
                              </w:rPr>
                            </w:pPr>
                            <w:r w:rsidRPr="00B37E7B">
                              <w:rPr>
                                <w:rFonts w:ascii="Georgia" w:hAnsi="Georgia" w:cs="Segoe UI"/>
                                <w:i/>
                                <w:iCs/>
                                <w:sz w:val="16"/>
                                <w:szCs w:val="16"/>
                              </w:rPr>
                              <w:t>October 31, 202</w:t>
                            </w:r>
                            <w:r w:rsidR="00F13C0D" w:rsidRPr="00B37E7B">
                              <w:rPr>
                                <w:rFonts w:ascii="Georgia" w:hAnsi="Georgia" w:cs="Segoe UI"/>
                                <w:i/>
                                <w:iCs/>
                                <w:sz w:val="16"/>
                                <w:szCs w:val="16"/>
                              </w:rPr>
                              <w:t>5</w:t>
                            </w:r>
                            <w:r w:rsidRPr="00B37E7B">
                              <w:rPr>
                                <w:rFonts w:ascii="Georgia" w:hAnsi="Georgia" w:cs="Segoe UI"/>
                                <w:i/>
                                <w:iCs/>
                                <w:sz w:val="16"/>
                                <w:szCs w:val="16"/>
                              </w:rPr>
                              <w:t xml:space="preserve"> Ten-Year Forecasted CMAs</w:t>
                            </w:r>
                          </w:p>
                          <w:p w14:paraId="72BB2E3B" w14:textId="0BCC4A3D" w:rsidR="00C5273B" w:rsidRPr="00B37E7B" w:rsidRDefault="00C5273B" w:rsidP="00C5273B">
                            <w:pPr>
                              <w:ind w:left="90"/>
                              <w:rPr>
                                <w:rFonts w:ascii="Georgia" w:hAnsi="Georgia"/>
                                <w:sz w:val="22"/>
                                <w:szCs w:val="22"/>
                              </w:rPr>
                            </w:pPr>
                            <w:r w:rsidRPr="00B37E7B">
                              <w:rPr>
                                <w:rFonts w:ascii="Georgia" w:hAnsi="Georgia" w:cs="Segoe UI"/>
                                <w:i/>
                                <w:iCs/>
                                <w:sz w:val="16"/>
                                <w:szCs w:val="16"/>
                              </w:rPr>
                              <w:t>*Historical mix return calculations assume a weighted average excess return assumption of 0.5% with a Fiducient Advisors’ hypothetical fee of 0.25%.</w:t>
                            </w:r>
                            <w:r w:rsidR="00F071B8">
                              <w:rPr>
                                <w:rFonts w:ascii="Georgia" w:hAnsi="Georgia" w:cs="Segoe UI"/>
                                <w:i/>
                                <w:iCs/>
                                <w:sz w:val="16"/>
                                <w:szCs w:val="16"/>
                              </w:rPr>
                              <w:t xml:space="preserve"> </w:t>
                            </w:r>
                            <w:r w:rsidRPr="00B37E7B">
                              <w:rPr>
                                <w:rFonts w:ascii="Georgia" w:hAnsi="Georgia" w:cs="Segoe UI"/>
                                <w:i/>
                                <w:iCs/>
                                <w:sz w:val="16"/>
                                <w:szCs w:val="16"/>
                              </w:rPr>
                              <w:t>For additional information on forecast methodologies, please speak with your advisor. Please see Index Disclosure page at the end of this paper for summary of indexes used to represent each asset class. Past performance does not indicate future performance. Please see the Frontier Engineer Hypothetical Performance Disclosures for additional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5DF2F" id="_x0000_s1041" type="#_x0000_t202" style="position:absolute;left:0;text-align:left;margin-left:38.95pt;margin-top:363pt;width:530.25pt;height:66.95pt;z-index:251641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" filled="f" stroked="f">
                <v:textbox>
                  <w:txbxContent>
                    <w:p w14:paraId="6346014D" w14:textId="33E251B3" w:rsidR="00C5273B" w:rsidRPr="00B37E7B" w:rsidRDefault="00C5273B" w:rsidP="00C5273B">
                      <w:pPr>
                        <w:ind w:left="90"/>
                        <w:rPr>
                          <w:rFonts w:ascii="Georgia" w:hAnsi="Georgia" w:cs="Segoe UI"/>
                          <w:i/>
                          <w:iCs/>
                          <w:sz w:val="16"/>
                          <w:szCs w:val="16"/>
                        </w:rPr>
                      </w:pPr>
                      <w:r w:rsidRPr="00B37E7B">
                        <w:rPr>
                          <w:rFonts w:ascii="Georgia" w:hAnsi="Georgia" w:cs="Segoe UI"/>
                          <w:i/>
                          <w:iCs/>
                          <w:sz w:val="16"/>
                          <w:szCs w:val="16"/>
                        </w:rPr>
                        <w:t>October 31, 202</w:t>
                      </w:r>
                      <w:r w:rsidR="00F13C0D" w:rsidRPr="00B37E7B">
                        <w:rPr>
                          <w:rFonts w:ascii="Georgia" w:hAnsi="Georgia" w:cs="Segoe UI"/>
                          <w:i/>
                          <w:iCs/>
                          <w:sz w:val="16"/>
                          <w:szCs w:val="16"/>
                        </w:rPr>
                        <w:t>5</w:t>
                      </w:r>
                      <w:r w:rsidRPr="00B37E7B">
                        <w:rPr>
                          <w:rFonts w:ascii="Georgia" w:hAnsi="Georgia" w:cs="Segoe UI"/>
                          <w:i/>
                          <w:iCs/>
                          <w:sz w:val="16"/>
                          <w:szCs w:val="16"/>
                        </w:rPr>
                        <w:t xml:space="preserve"> Ten-Year Forecasted CMAs</w:t>
                      </w:r>
                    </w:p>
                    <w:p w14:paraId="72BB2E3B" w14:textId="0BCC4A3D" w:rsidR="00C5273B" w:rsidRPr="00B37E7B" w:rsidRDefault="00C5273B" w:rsidP="00C5273B">
                      <w:pPr>
                        <w:ind w:left="90"/>
                        <w:rPr>
                          <w:rFonts w:ascii="Georgia" w:hAnsi="Georgia"/>
                          <w:sz w:val="22"/>
                          <w:szCs w:val="22"/>
                        </w:rPr>
                      </w:pPr>
                      <w:r w:rsidRPr="00B37E7B">
                        <w:rPr>
                          <w:rFonts w:ascii="Georgia" w:hAnsi="Georgia" w:cs="Segoe UI"/>
                          <w:i/>
                          <w:iCs/>
                          <w:sz w:val="16"/>
                          <w:szCs w:val="16"/>
                        </w:rPr>
                        <w:t>*Historical mix return calculations assume a weighted average excess return assumption of 0.5% with a Fiducient Advisors’ hypothetical fee of 0.25%.</w:t>
                      </w:r>
                      <w:r w:rsidR="00F071B8">
                        <w:rPr>
                          <w:rFonts w:ascii="Georgia" w:hAnsi="Georgia" w:cs="Segoe UI"/>
                          <w:i/>
                          <w:iCs/>
                          <w:sz w:val="16"/>
                          <w:szCs w:val="16"/>
                        </w:rPr>
                        <w:t xml:space="preserve"> </w:t>
                      </w:r>
                      <w:r w:rsidRPr="00B37E7B">
                        <w:rPr>
                          <w:rFonts w:ascii="Georgia" w:hAnsi="Georgia" w:cs="Segoe UI"/>
                          <w:i/>
                          <w:iCs/>
                          <w:sz w:val="16"/>
                          <w:szCs w:val="16"/>
                        </w:rPr>
                        <w:t>For additional information on forecast methodologies, please speak with your advisor. Please see Index Disclosure page at the end of this paper for summary of indexes used to represent each asset class. Past performance does not indicate future performance. Please see the Frontier Engineer Hypothetical Performance Disclosures for additional information.</w:t>
                      </w:r>
                    </w:p>
                  </w:txbxContent>
                </v:textbox>
                <w10:wrap type="square" anchorx="page"/>
              </v:shape>
            </w:pict>
          </mc:Fallback>
        </mc:AlternateContent>
      </w:r>
      <w:r w:rsidRPr="00747D09">
        <w:rPr>
          <w:noProof/>
        </w:rPr>
        <w:drawing>
          <wp:anchor distT="0" distB="0" distL="114300" distR="114300" simplePos="0" relativeHeight="251673600" behindDoc="0" locked="0" layoutInCell="1" allowOverlap="1" wp14:anchorId="1AEF6B01" wp14:editId="6A8D9E3B">
            <wp:simplePos x="0" y="0"/>
            <wp:positionH relativeFrom="page">
              <wp:align>center</wp:align>
            </wp:positionH>
            <wp:positionV relativeFrom="paragraph">
              <wp:posOffset>609600</wp:posOffset>
            </wp:positionV>
            <wp:extent cx="6553200" cy="3969385"/>
            <wp:effectExtent l="0" t="0" r="0" b="0"/>
            <wp:wrapTopAndBottom/>
            <wp:docPr id="16707301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53200" cy="396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28A1">
        <w:rPr>
          <w:rFonts w:ascii="Georgia" w:hAnsi="Georgia"/>
          <w:b/>
          <w:bCs/>
          <w:color w:val="009CDE"/>
          <w:sz w:val="28"/>
          <w:szCs w:val="36"/>
        </w:rPr>
        <w:t>APPENDI</w:t>
      </w:r>
      <w:r w:rsidR="006C1874">
        <w:rPr>
          <w:rFonts w:ascii="Georgia" w:hAnsi="Georgia"/>
          <w:b/>
          <w:bCs/>
          <w:color w:val="009CDE"/>
          <w:sz w:val="28"/>
          <w:szCs w:val="36"/>
        </w:rPr>
        <w:t>X</w:t>
      </w:r>
      <w:r w:rsidR="000428A1">
        <w:rPr>
          <w:rFonts w:ascii="Georgia" w:hAnsi="Georgia"/>
          <w:b/>
          <w:bCs/>
          <w:color w:val="009CDE"/>
          <w:sz w:val="28"/>
          <w:szCs w:val="36"/>
        </w:rPr>
        <w:t xml:space="preserve"> 1</w:t>
      </w:r>
      <w:r w:rsidR="00E14223">
        <w:rPr>
          <w:rFonts w:ascii="Georgia" w:hAnsi="Georgia"/>
          <w:b/>
          <w:bCs/>
          <w:color w:val="009CDE"/>
          <w:sz w:val="28"/>
          <w:szCs w:val="36"/>
        </w:rPr>
        <w:t xml:space="preserve">: </w:t>
      </w:r>
      <w:r w:rsidR="00157C11">
        <w:rPr>
          <w:rFonts w:ascii="Georgia" w:hAnsi="Georgia"/>
          <w:b/>
          <w:bCs/>
          <w:color w:val="009CDE"/>
          <w:sz w:val="28"/>
          <w:szCs w:val="36"/>
        </w:rPr>
        <w:t>Return, Risk, and Correlation Assumptions (Annualized)</w:t>
      </w:r>
      <w:r w:rsidR="000428A1">
        <w:rPr>
          <w:rFonts w:ascii="Georgia" w:hAnsi="Georgia"/>
          <w:b/>
          <w:bCs/>
          <w:color w:val="ED7D31" w:themeColor="accent2"/>
          <w:sz w:val="28"/>
          <w:szCs w:val="36"/>
        </w:rPr>
        <w:br/>
      </w:r>
    </w:p>
    <w:p w14:paraId="531BA6CE" w14:textId="2C126BBB" w:rsidR="00802A76" w:rsidRPr="00802A76" w:rsidRDefault="00C5273B" w:rsidP="00802A76">
      <w:pPr>
        <w:spacing w:line="360" w:lineRule="auto"/>
        <w:ind w:left="-288"/>
        <w:rPr>
          <w:rFonts w:ascii="Georgia" w:hAnsi="Georgia"/>
          <w:sz w:val="20"/>
          <w:szCs w:val="20"/>
        </w:rPr>
      </w:pPr>
      <w:r>
        <w:rPr>
          <w:rFonts w:ascii="Georgia" w:hAnsi="Georgia"/>
          <w:b/>
          <w:bCs/>
          <w:color w:val="009CDE"/>
          <w:sz w:val="28"/>
          <w:szCs w:val="36"/>
        </w:rPr>
        <w:t>D</w:t>
      </w:r>
      <w:r w:rsidR="00157C11">
        <w:rPr>
          <w:rFonts w:ascii="Georgia" w:hAnsi="Georgia"/>
          <w:b/>
          <w:bCs/>
          <w:color w:val="009CDE"/>
          <w:sz w:val="28"/>
          <w:szCs w:val="36"/>
        </w:rPr>
        <w:t>isclosures</w:t>
      </w:r>
      <w:r w:rsidR="00E735FD">
        <w:rPr>
          <w:rFonts w:ascii="Georgia" w:hAnsi="Georgia"/>
          <w:b/>
          <w:bCs/>
          <w:color w:val="ED7D31" w:themeColor="accent2"/>
          <w:sz w:val="28"/>
          <w:szCs w:val="36"/>
        </w:rPr>
        <w:br/>
      </w:r>
      <w:r w:rsidR="00802A76" w:rsidRPr="00802A76">
        <w:rPr>
          <w:rFonts w:ascii="Georgia" w:hAnsi="Georgia"/>
          <w:sz w:val="20"/>
          <w:szCs w:val="20"/>
        </w:rPr>
        <w:t xml:space="preserve">This report does not represent a specific investment recommendation. Comparisons to any indices referenced herein are for illustrative purposes only and are not meant to imply that actual returns or volatility will be similar to the indices. Indices cannot be invested in directly. Unmanaged index returns assume reinvestment of any and all distributions and are reported gross of any fees and expenses. Any forecasts represent future expectations and actual returns; volatilities and correlations will differ from forecasts. </w:t>
      </w:r>
    </w:p>
    <w:p w14:paraId="66DB1A14" w14:textId="1A3F6F86" w:rsidR="00802A76" w:rsidRPr="00802A76" w:rsidRDefault="00802A76" w:rsidP="00802A76">
      <w:pPr>
        <w:spacing w:line="360" w:lineRule="auto"/>
        <w:ind w:left="-288"/>
        <w:rPr>
          <w:rFonts w:ascii="Georgia" w:hAnsi="Georgia"/>
          <w:sz w:val="20"/>
          <w:szCs w:val="20"/>
        </w:rPr>
      </w:pPr>
    </w:p>
    <w:p w14:paraId="32DC90E8" w14:textId="101DC88F" w:rsidR="00C5273B" w:rsidRDefault="00802A76" w:rsidP="00802A76">
      <w:pPr>
        <w:spacing w:line="360" w:lineRule="auto"/>
        <w:ind w:left="-288"/>
        <w:rPr>
          <w:rFonts w:ascii="Georgia" w:hAnsi="Georgia"/>
          <w:sz w:val="20"/>
          <w:szCs w:val="20"/>
        </w:rPr>
      </w:pPr>
      <w:r w:rsidRPr="00802A76">
        <w:rPr>
          <w:rFonts w:ascii="Georgia" w:hAnsi="Georgia"/>
          <w:sz w:val="20"/>
          <w:szCs w:val="20"/>
        </w:rPr>
        <w:t>When referencing asset class returns or statistics, the following indices are used to represent those asset classes, unless otherwise notes. Each index is unmanaged and investors can not actually invest directly into an index:</w:t>
      </w:r>
    </w:p>
    <w:p w14:paraId="568D6CDD" w14:textId="01CC7A56" w:rsidR="00802A76" w:rsidRDefault="00802A76" w:rsidP="00802A76">
      <w:pPr>
        <w:spacing w:line="360" w:lineRule="auto"/>
        <w:ind w:left="-288"/>
        <w:rPr>
          <w:rFonts w:ascii="Georgia" w:hAnsi="Georgia"/>
          <w:sz w:val="20"/>
          <w:szCs w:val="20"/>
        </w:rPr>
      </w:pPr>
    </w:p>
    <w:p w14:paraId="5F8C9A50" w14:textId="4FD2B612" w:rsidR="006C1874" w:rsidRDefault="006C1874" w:rsidP="006C1874">
      <w:pPr>
        <w:spacing w:line="360" w:lineRule="auto"/>
        <w:ind w:left="-288"/>
        <w:rPr>
          <w:rFonts w:ascii="Georgia" w:hAnsi="Georgia"/>
          <w:color w:val="EE0000"/>
          <w:sz w:val="20"/>
          <w:szCs w:val="20"/>
        </w:rPr>
      </w:pPr>
      <w:r>
        <w:rPr>
          <w:rFonts w:ascii="Georgia" w:hAnsi="Georgia"/>
          <w:b/>
          <w:bCs/>
          <w:color w:val="009CDE"/>
          <w:sz w:val="28"/>
          <w:szCs w:val="36"/>
        </w:rPr>
        <w:lastRenderedPageBreak/>
        <w:t xml:space="preserve">APPENDIX </w:t>
      </w:r>
      <w:r w:rsidR="009B0F03">
        <w:rPr>
          <w:rFonts w:ascii="Georgia" w:hAnsi="Georgia"/>
          <w:b/>
          <w:bCs/>
          <w:color w:val="009CDE"/>
          <w:sz w:val="28"/>
          <w:szCs w:val="36"/>
        </w:rPr>
        <w:t>2</w:t>
      </w:r>
      <w:r>
        <w:rPr>
          <w:rFonts w:ascii="Georgia" w:hAnsi="Georgia"/>
          <w:b/>
          <w:bCs/>
          <w:color w:val="009CDE"/>
          <w:sz w:val="28"/>
          <w:szCs w:val="36"/>
        </w:rPr>
        <w:t>:</w:t>
      </w:r>
      <w:r w:rsidR="009B0F03">
        <w:rPr>
          <w:rFonts w:ascii="Georgia" w:hAnsi="Georgia"/>
          <w:b/>
          <w:bCs/>
          <w:color w:val="009CDE"/>
          <w:sz w:val="28"/>
          <w:szCs w:val="36"/>
        </w:rPr>
        <w:t xml:space="preserve"> </w:t>
      </w:r>
      <w:r w:rsidR="00157C11">
        <w:rPr>
          <w:rFonts w:ascii="Georgia" w:hAnsi="Georgia"/>
          <w:b/>
          <w:bCs/>
          <w:color w:val="009CDE"/>
          <w:sz w:val="28"/>
          <w:szCs w:val="36"/>
        </w:rPr>
        <w:t>Index Disclosures</w:t>
      </w:r>
      <w:r>
        <w:rPr>
          <w:rFonts w:ascii="Georgia" w:hAnsi="Georgia"/>
          <w:b/>
          <w:bCs/>
          <w:color w:val="ED7D31" w:themeColor="accent2"/>
          <w:sz w:val="28"/>
          <w:szCs w:val="36"/>
        </w:rPr>
        <w:br/>
      </w:r>
    </w:p>
    <w:p w14:paraId="3008DFD5" w14:textId="36156C62" w:rsidR="006C1874" w:rsidRDefault="00866CC3" w:rsidP="006C1874">
      <w:pPr>
        <w:spacing w:line="360" w:lineRule="auto"/>
        <w:ind w:left="-288"/>
        <w:rPr>
          <w:rFonts w:ascii="Georgia" w:hAnsi="Georgia"/>
          <w:color w:val="EE0000"/>
          <w:sz w:val="20"/>
          <w:szCs w:val="20"/>
        </w:rPr>
      </w:pPr>
      <w:r w:rsidRPr="00866CC3">
        <w:rPr>
          <w:noProof/>
        </w:rPr>
        <w:drawing>
          <wp:anchor distT="0" distB="0" distL="114300" distR="114300" simplePos="0" relativeHeight="251657216" behindDoc="0" locked="0" layoutInCell="1" allowOverlap="1" wp14:anchorId="47F3B2E8" wp14:editId="7EE95AC0">
            <wp:simplePos x="0" y="0"/>
            <wp:positionH relativeFrom="column">
              <wp:posOffset>-182880</wp:posOffset>
            </wp:positionH>
            <wp:positionV relativeFrom="paragraph">
              <wp:posOffset>-193</wp:posOffset>
            </wp:positionV>
            <wp:extent cx="6229350" cy="5537835"/>
            <wp:effectExtent l="0" t="0" r="0" b="5715"/>
            <wp:wrapTopAndBottom/>
            <wp:docPr id="19791456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29350" cy="5537835"/>
                    </a:xfrm>
                    <a:prstGeom prst="rect">
                      <a:avLst/>
                    </a:prstGeom>
                    <a:noFill/>
                    <a:ln>
                      <a:noFill/>
                    </a:ln>
                  </pic:spPr>
                </pic:pic>
              </a:graphicData>
            </a:graphic>
          </wp:anchor>
        </w:drawing>
      </w:r>
    </w:p>
    <w:p w14:paraId="5E0C0756" w14:textId="2F44DC24" w:rsidR="00C5273B" w:rsidRPr="00157C11" w:rsidRDefault="000675E0" w:rsidP="00E735FD">
      <w:pPr>
        <w:spacing w:line="360" w:lineRule="auto"/>
        <w:ind w:left="-288"/>
        <w:rPr>
          <w:rFonts w:ascii="Georgia" w:hAnsi="Georgia"/>
          <w:i/>
          <w:iCs/>
          <w:sz w:val="18"/>
          <w:szCs w:val="18"/>
        </w:rPr>
      </w:pPr>
      <w:r w:rsidRPr="00157C11">
        <w:rPr>
          <w:rFonts w:ascii="Georgia" w:hAnsi="Georgia"/>
          <w:i/>
          <w:iCs/>
          <w:sz w:val="18"/>
          <w:szCs w:val="18"/>
        </w:rPr>
        <w:t>Note: Private Equity Index is frequently 3-6 months behind the other indices. For historical return calculation purposes, it is given 0% returns during the most recent period where gaps may exist. Past performance, actual or hypothetical, is no guarantee of future results and there is a possibility of a loss. Please see Frontier Engineer Hypothetical Performance Disclosures for additional information.</w:t>
      </w:r>
    </w:p>
    <w:p w14:paraId="3A78383F" w14:textId="77777777" w:rsidR="00C5273B" w:rsidRDefault="00C5273B" w:rsidP="00E735FD">
      <w:pPr>
        <w:spacing w:line="360" w:lineRule="auto"/>
        <w:ind w:left="-288"/>
        <w:rPr>
          <w:rFonts w:ascii="Georgia" w:hAnsi="Georgia"/>
          <w:sz w:val="20"/>
          <w:szCs w:val="20"/>
        </w:rPr>
      </w:pPr>
    </w:p>
    <w:p w14:paraId="50CDACE1" w14:textId="77777777" w:rsidR="00CC07A7" w:rsidRDefault="00CC07A7" w:rsidP="00E735FD">
      <w:pPr>
        <w:spacing w:line="360" w:lineRule="auto"/>
        <w:ind w:left="-288"/>
        <w:rPr>
          <w:rFonts w:ascii="Georgia" w:hAnsi="Georgia"/>
          <w:sz w:val="20"/>
          <w:szCs w:val="20"/>
        </w:rPr>
      </w:pPr>
    </w:p>
    <w:p w14:paraId="00C12750" w14:textId="77777777" w:rsidR="00CC07A7" w:rsidRDefault="00CC07A7" w:rsidP="00E735FD">
      <w:pPr>
        <w:spacing w:line="360" w:lineRule="auto"/>
        <w:ind w:left="-288"/>
        <w:rPr>
          <w:rFonts w:ascii="Georgia" w:hAnsi="Georgia"/>
          <w:sz w:val="20"/>
          <w:szCs w:val="20"/>
        </w:rPr>
      </w:pPr>
    </w:p>
    <w:p w14:paraId="69A5F80B" w14:textId="77777777" w:rsidR="00CC07A7" w:rsidRDefault="00CC07A7" w:rsidP="00E735FD">
      <w:pPr>
        <w:spacing w:line="360" w:lineRule="auto"/>
        <w:ind w:left="-288"/>
        <w:rPr>
          <w:rFonts w:ascii="Georgia" w:hAnsi="Georgia"/>
          <w:sz w:val="20"/>
          <w:szCs w:val="20"/>
        </w:rPr>
      </w:pPr>
    </w:p>
    <w:p w14:paraId="1BE4B52C" w14:textId="77777777" w:rsidR="00CC07A7" w:rsidRPr="000675E0" w:rsidRDefault="00CC07A7" w:rsidP="00E735FD">
      <w:pPr>
        <w:spacing w:line="360" w:lineRule="auto"/>
        <w:ind w:left="-288"/>
        <w:rPr>
          <w:rFonts w:ascii="Georgia" w:hAnsi="Georgia"/>
          <w:sz w:val="20"/>
          <w:szCs w:val="20"/>
        </w:rPr>
      </w:pPr>
    </w:p>
    <w:p w14:paraId="15345445" w14:textId="67857903" w:rsidR="00AE0F4A" w:rsidRDefault="000675E0" w:rsidP="00E735FD">
      <w:pPr>
        <w:spacing w:line="360" w:lineRule="auto"/>
        <w:ind w:left="-288"/>
        <w:rPr>
          <w:rFonts w:ascii="Georgia" w:hAnsi="Georgia"/>
          <w:b/>
          <w:bCs/>
          <w:color w:val="009CDE"/>
          <w:sz w:val="28"/>
          <w:szCs w:val="36"/>
        </w:rPr>
      </w:pPr>
      <w:r>
        <w:rPr>
          <w:rFonts w:ascii="Georgia" w:hAnsi="Georgia"/>
          <w:b/>
          <w:bCs/>
          <w:color w:val="009CDE"/>
          <w:sz w:val="28"/>
          <w:szCs w:val="36"/>
        </w:rPr>
        <w:lastRenderedPageBreak/>
        <w:t xml:space="preserve">APPENDIX 3: </w:t>
      </w:r>
      <w:r w:rsidR="00157C11">
        <w:rPr>
          <w:rFonts w:ascii="Georgia" w:hAnsi="Georgia"/>
          <w:b/>
          <w:bCs/>
          <w:color w:val="009CDE"/>
          <w:sz w:val="28"/>
          <w:szCs w:val="36"/>
        </w:rPr>
        <w:t>Standard Deviation Forecasts</w:t>
      </w:r>
    </w:p>
    <w:p w14:paraId="1A8530EE" w14:textId="77777777" w:rsidR="002E6FB9" w:rsidRPr="002E6FB9" w:rsidRDefault="002E6FB9" w:rsidP="002E6FB9">
      <w:pPr>
        <w:spacing w:line="360" w:lineRule="auto"/>
        <w:ind w:left="-288"/>
        <w:rPr>
          <w:rFonts w:ascii="Georgia" w:hAnsi="Georgia"/>
          <w:sz w:val="20"/>
          <w:szCs w:val="20"/>
        </w:rPr>
      </w:pPr>
      <w:r w:rsidRPr="002E6FB9">
        <w:rPr>
          <w:rFonts w:ascii="Georgia" w:hAnsi="Georgia"/>
          <w:sz w:val="20"/>
          <w:szCs w:val="20"/>
        </w:rPr>
        <w:t xml:space="preserve">Annualizing a historical monthly standard deviation by multiplying by √12 understates true annual volatility (because of monthly serial correlation). Therefore, standard deviation is derived (for all asset classes) by calculating the annual standard deviation of all historical 12-month periods.  </w:t>
      </w:r>
    </w:p>
    <w:p w14:paraId="02B2E026" w14:textId="77777777" w:rsidR="002E6FB9" w:rsidRPr="002E6FB9" w:rsidRDefault="002E6FB9" w:rsidP="002E6FB9">
      <w:pPr>
        <w:spacing w:line="360" w:lineRule="auto"/>
        <w:ind w:left="-288"/>
        <w:rPr>
          <w:rFonts w:ascii="Georgia" w:hAnsi="Georgia"/>
          <w:sz w:val="20"/>
          <w:szCs w:val="20"/>
        </w:rPr>
      </w:pPr>
    </w:p>
    <w:p w14:paraId="234DC26F" w14:textId="77777777" w:rsidR="002E6FB9" w:rsidRPr="002E6FB9" w:rsidRDefault="002E6FB9" w:rsidP="002E6FB9">
      <w:pPr>
        <w:spacing w:line="360" w:lineRule="auto"/>
        <w:ind w:left="-288"/>
        <w:rPr>
          <w:rFonts w:ascii="Georgia" w:hAnsi="Georgia"/>
          <w:sz w:val="20"/>
          <w:szCs w:val="20"/>
        </w:rPr>
      </w:pPr>
      <w:r w:rsidRPr="002E6FB9">
        <w:rPr>
          <w:rFonts w:ascii="Georgia" w:hAnsi="Georgia"/>
          <w:sz w:val="20"/>
          <w:szCs w:val="20"/>
        </w:rPr>
        <w:t>An adjustment will be made to asset classes with shorter return streams that will attempt to normalize volatility between asset classes. The methodology is used for the following asset classes:</w:t>
      </w:r>
    </w:p>
    <w:p w14:paraId="7928F1BE" w14:textId="77777777" w:rsidR="002E6FB9" w:rsidRPr="0094241F" w:rsidRDefault="002E6FB9" w:rsidP="002E6FB9">
      <w:pPr>
        <w:spacing w:line="360" w:lineRule="auto"/>
        <w:ind w:left="-288"/>
        <w:rPr>
          <w:rFonts w:ascii="Georgia" w:hAnsi="Georgia"/>
          <w:b/>
          <w:bCs/>
          <w:sz w:val="20"/>
          <w:szCs w:val="20"/>
        </w:rPr>
      </w:pPr>
      <w:r w:rsidRPr="0094241F">
        <w:rPr>
          <w:rFonts w:ascii="Georgia" w:hAnsi="Georgia"/>
          <w:b/>
          <w:bCs/>
          <w:sz w:val="20"/>
          <w:szCs w:val="20"/>
        </w:rPr>
        <w:t>Asset Classes</w:t>
      </w:r>
    </w:p>
    <w:p w14:paraId="32CEF990" w14:textId="77777777" w:rsidR="002E6FB9" w:rsidRPr="002E6FB9" w:rsidRDefault="002E6FB9" w:rsidP="002E6FB9">
      <w:pPr>
        <w:spacing w:line="360" w:lineRule="auto"/>
        <w:ind w:left="-288"/>
        <w:rPr>
          <w:rFonts w:ascii="Georgia" w:hAnsi="Georgia"/>
          <w:sz w:val="20"/>
          <w:szCs w:val="20"/>
        </w:rPr>
      </w:pPr>
      <w:r w:rsidRPr="002E6FB9">
        <w:rPr>
          <w:rFonts w:ascii="Georgia" w:hAnsi="Georgia"/>
          <w:sz w:val="20"/>
          <w:szCs w:val="20"/>
        </w:rPr>
        <w:t>•</w:t>
      </w:r>
      <w:r w:rsidRPr="002E6FB9">
        <w:rPr>
          <w:rFonts w:ascii="Georgia" w:hAnsi="Georgia"/>
          <w:sz w:val="20"/>
          <w:szCs w:val="20"/>
        </w:rPr>
        <w:tab/>
        <w:t>TIPS (March 1997)</w:t>
      </w:r>
    </w:p>
    <w:p w14:paraId="4948E6BF" w14:textId="77777777" w:rsidR="002E6FB9" w:rsidRPr="002E6FB9" w:rsidRDefault="002E6FB9" w:rsidP="002E6FB9">
      <w:pPr>
        <w:spacing w:line="360" w:lineRule="auto"/>
        <w:ind w:left="-288"/>
        <w:rPr>
          <w:rFonts w:ascii="Georgia" w:hAnsi="Georgia"/>
          <w:sz w:val="20"/>
          <w:szCs w:val="20"/>
        </w:rPr>
      </w:pPr>
      <w:r w:rsidRPr="002E6FB9">
        <w:rPr>
          <w:rFonts w:ascii="Georgia" w:hAnsi="Georgia"/>
          <w:sz w:val="20"/>
          <w:szCs w:val="20"/>
        </w:rPr>
        <w:t>•</w:t>
      </w:r>
      <w:r w:rsidRPr="002E6FB9">
        <w:rPr>
          <w:rFonts w:ascii="Georgia" w:hAnsi="Georgia"/>
          <w:sz w:val="20"/>
          <w:szCs w:val="20"/>
        </w:rPr>
        <w:tab/>
        <w:t>Emerging Markets Bonds (January 1994)</w:t>
      </w:r>
    </w:p>
    <w:p w14:paraId="0CC91AA3" w14:textId="77777777" w:rsidR="002E6FB9" w:rsidRPr="002E6FB9" w:rsidRDefault="002E6FB9" w:rsidP="002E6FB9">
      <w:pPr>
        <w:spacing w:line="360" w:lineRule="auto"/>
        <w:ind w:left="-288"/>
        <w:rPr>
          <w:rFonts w:ascii="Georgia" w:hAnsi="Georgia"/>
          <w:sz w:val="20"/>
          <w:szCs w:val="20"/>
        </w:rPr>
      </w:pPr>
      <w:r w:rsidRPr="002E6FB9">
        <w:rPr>
          <w:rFonts w:ascii="Georgia" w:hAnsi="Georgia"/>
          <w:sz w:val="20"/>
          <w:szCs w:val="20"/>
        </w:rPr>
        <w:t>•</w:t>
      </w:r>
      <w:r w:rsidRPr="002E6FB9">
        <w:rPr>
          <w:rFonts w:ascii="Georgia" w:hAnsi="Georgia"/>
          <w:sz w:val="20"/>
          <w:szCs w:val="20"/>
        </w:rPr>
        <w:tab/>
        <w:t>Hedge Funds Portfolio (January 1990)</w:t>
      </w:r>
    </w:p>
    <w:p w14:paraId="1A0F8C40" w14:textId="77777777" w:rsidR="002E6FB9" w:rsidRPr="002E6FB9" w:rsidRDefault="002E6FB9" w:rsidP="002E6FB9">
      <w:pPr>
        <w:spacing w:line="360" w:lineRule="auto"/>
        <w:ind w:left="-288"/>
        <w:rPr>
          <w:rFonts w:ascii="Georgia" w:hAnsi="Georgia"/>
          <w:sz w:val="20"/>
          <w:szCs w:val="20"/>
        </w:rPr>
      </w:pPr>
      <w:r w:rsidRPr="002E6FB9">
        <w:rPr>
          <w:rFonts w:ascii="Georgia" w:hAnsi="Georgia"/>
          <w:sz w:val="20"/>
          <w:szCs w:val="20"/>
        </w:rPr>
        <w:t>•</w:t>
      </w:r>
      <w:r w:rsidRPr="002E6FB9">
        <w:rPr>
          <w:rFonts w:ascii="Georgia" w:hAnsi="Georgia"/>
          <w:sz w:val="20"/>
          <w:szCs w:val="20"/>
        </w:rPr>
        <w:tab/>
        <w:t>Midstream Energy (January 1990)</w:t>
      </w:r>
    </w:p>
    <w:p w14:paraId="61842D18" w14:textId="77777777" w:rsidR="002E6FB9" w:rsidRPr="002E6FB9" w:rsidRDefault="002E6FB9" w:rsidP="002E6FB9">
      <w:pPr>
        <w:spacing w:line="360" w:lineRule="auto"/>
        <w:ind w:left="-288"/>
        <w:rPr>
          <w:rFonts w:ascii="Georgia" w:hAnsi="Georgia"/>
          <w:sz w:val="20"/>
          <w:szCs w:val="20"/>
        </w:rPr>
      </w:pPr>
      <w:r w:rsidRPr="002E6FB9">
        <w:rPr>
          <w:rFonts w:ascii="Georgia" w:hAnsi="Georgia"/>
          <w:sz w:val="20"/>
          <w:szCs w:val="20"/>
        </w:rPr>
        <w:t>•</w:t>
      </w:r>
      <w:r w:rsidRPr="002E6FB9">
        <w:rPr>
          <w:rFonts w:ascii="Georgia" w:hAnsi="Georgia"/>
          <w:sz w:val="20"/>
          <w:szCs w:val="20"/>
        </w:rPr>
        <w:tab/>
        <w:t>Emerging Market Equities (January 1988)</w:t>
      </w:r>
    </w:p>
    <w:p w14:paraId="26C2D440" w14:textId="77777777" w:rsidR="002E6FB9" w:rsidRPr="002E6FB9" w:rsidRDefault="002E6FB9" w:rsidP="002E6FB9">
      <w:pPr>
        <w:spacing w:line="360" w:lineRule="auto"/>
        <w:ind w:left="-288"/>
        <w:rPr>
          <w:rFonts w:ascii="Georgia" w:hAnsi="Georgia"/>
          <w:sz w:val="20"/>
          <w:szCs w:val="20"/>
        </w:rPr>
      </w:pPr>
      <w:r w:rsidRPr="002E6FB9">
        <w:rPr>
          <w:rFonts w:ascii="Georgia" w:hAnsi="Georgia"/>
          <w:sz w:val="20"/>
          <w:szCs w:val="20"/>
        </w:rPr>
        <w:t>•</w:t>
      </w:r>
      <w:r w:rsidRPr="002E6FB9">
        <w:rPr>
          <w:rFonts w:ascii="Georgia" w:hAnsi="Georgia"/>
          <w:sz w:val="20"/>
          <w:szCs w:val="20"/>
        </w:rPr>
        <w:tab/>
        <w:t>Foreign Bonds (January 1985)</w:t>
      </w:r>
    </w:p>
    <w:p w14:paraId="1B556F9F" w14:textId="77777777" w:rsidR="002E6FB9" w:rsidRPr="002E6FB9" w:rsidRDefault="002E6FB9" w:rsidP="002E6FB9">
      <w:pPr>
        <w:spacing w:line="360" w:lineRule="auto"/>
        <w:ind w:left="-288"/>
        <w:rPr>
          <w:rFonts w:ascii="Georgia" w:hAnsi="Georgia"/>
          <w:sz w:val="20"/>
          <w:szCs w:val="20"/>
        </w:rPr>
      </w:pPr>
      <w:r w:rsidRPr="002E6FB9">
        <w:rPr>
          <w:rFonts w:ascii="Georgia" w:hAnsi="Georgia"/>
          <w:sz w:val="20"/>
          <w:szCs w:val="20"/>
        </w:rPr>
        <w:t>•</w:t>
      </w:r>
      <w:r w:rsidRPr="002E6FB9">
        <w:rPr>
          <w:rFonts w:ascii="Georgia" w:hAnsi="Georgia"/>
          <w:sz w:val="20"/>
          <w:szCs w:val="20"/>
        </w:rPr>
        <w:tab/>
        <w:t>High Yield Bonds (November 1984)</w:t>
      </w:r>
    </w:p>
    <w:p w14:paraId="37A7EE78" w14:textId="77777777" w:rsidR="002E6FB9" w:rsidRPr="002E6FB9" w:rsidRDefault="002E6FB9" w:rsidP="002E6FB9">
      <w:pPr>
        <w:spacing w:line="360" w:lineRule="auto"/>
        <w:ind w:left="-288"/>
        <w:rPr>
          <w:rFonts w:ascii="Georgia" w:hAnsi="Georgia"/>
          <w:sz w:val="20"/>
          <w:szCs w:val="20"/>
        </w:rPr>
      </w:pPr>
    </w:p>
    <w:p w14:paraId="407444EA" w14:textId="77777777" w:rsidR="002E6FB9" w:rsidRPr="0094241F" w:rsidRDefault="002E6FB9" w:rsidP="002E6FB9">
      <w:pPr>
        <w:spacing w:line="360" w:lineRule="auto"/>
        <w:ind w:left="-288"/>
        <w:rPr>
          <w:rFonts w:ascii="Georgia" w:hAnsi="Georgia"/>
          <w:b/>
          <w:bCs/>
          <w:sz w:val="20"/>
          <w:szCs w:val="20"/>
        </w:rPr>
      </w:pPr>
      <w:r w:rsidRPr="0094241F">
        <w:rPr>
          <w:rFonts w:ascii="Georgia" w:hAnsi="Georgia"/>
          <w:b/>
          <w:bCs/>
          <w:sz w:val="20"/>
          <w:szCs w:val="20"/>
        </w:rPr>
        <w:t>Methodology</w:t>
      </w:r>
    </w:p>
    <w:p w14:paraId="47849E3F" w14:textId="77777777" w:rsidR="002E6FB9" w:rsidRPr="002E6FB9" w:rsidRDefault="002E6FB9" w:rsidP="002E6FB9">
      <w:pPr>
        <w:spacing w:line="360" w:lineRule="auto"/>
        <w:ind w:left="-288"/>
        <w:rPr>
          <w:rFonts w:ascii="Georgia" w:hAnsi="Georgia"/>
          <w:sz w:val="20"/>
          <w:szCs w:val="20"/>
        </w:rPr>
      </w:pPr>
      <w:r w:rsidRPr="002E6FB9">
        <w:rPr>
          <w:rFonts w:ascii="Georgia" w:hAnsi="Georgia"/>
          <w:sz w:val="20"/>
          <w:szCs w:val="20"/>
        </w:rPr>
        <w:t xml:space="preserve">Standard Deviation (σ) of Asset = </w:t>
      </w:r>
      <w:r w:rsidRPr="00157C11">
        <w:rPr>
          <w:rFonts w:ascii="Georgia" w:hAnsi="Georgia"/>
          <w:sz w:val="20"/>
          <w:szCs w:val="20"/>
          <w:u w:val="single"/>
        </w:rPr>
        <w:t>[short-term σ of asset] * [long-term σ of comparable asset]</w:t>
      </w:r>
      <w:r w:rsidRPr="002E6FB9">
        <w:rPr>
          <w:rFonts w:ascii="Georgia" w:hAnsi="Georgia"/>
          <w:sz w:val="20"/>
          <w:szCs w:val="20"/>
        </w:rPr>
        <w:t xml:space="preserve"> </w:t>
      </w:r>
      <w:r w:rsidRPr="002E6FB9">
        <w:rPr>
          <w:rFonts w:ascii="Georgia" w:hAnsi="Georgia"/>
          <w:sz w:val="20"/>
          <w:szCs w:val="20"/>
        </w:rPr>
        <w:tab/>
      </w:r>
    </w:p>
    <w:p w14:paraId="45B7BD8A" w14:textId="03C91D19" w:rsidR="002E6FB9" w:rsidRPr="002E6FB9" w:rsidRDefault="002E6FB9" w:rsidP="002E6FB9">
      <w:pPr>
        <w:spacing w:line="360" w:lineRule="auto"/>
        <w:ind w:left="-288"/>
        <w:rPr>
          <w:rFonts w:ascii="Georgia" w:hAnsi="Georgia"/>
          <w:sz w:val="20"/>
          <w:szCs w:val="20"/>
        </w:rPr>
      </w:pPr>
      <w:r w:rsidRPr="002E6FB9">
        <w:rPr>
          <w:rFonts w:ascii="Georgia" w:hAnsi="Georgia"/>
          <w:sz w:val="20"/>
          <w:szCs w:val="20"/>
        </w:rPr>
        <w:tab/>
      </w:r>
      <w:r w:rsidRPr="002E6FB9">
        <w:rPr>
          <w:rFonts w:ascii="Georgia" w:hAnsi="Georgia"/>
          <w:sz w:val="20"/>
          <w:szCs w:val="20"/>
        </w:rPr>
        <w:tab/>
      </w:r>
      <w:r w:rsidRPr="002E6FB9">
        <w:rPr>
          <w:rFonts w:ascii="Georgia" w:hAnsi="Georgia"/>
          <w:sz w:val="20"/>
          <w:szCs w:val="20"/>
        </w:rPr>
        <w:tab/>
      </w:r>
      <w:r w:rsidRPr="002E6FB9">
        <w:rPr>
          <w:rFonts w:ascii="Georgia" w:hAnsi="Georgia"/>
          <w:sz w:val="20"/>
          <w:szCs w:val="20"/>
        </w:rPr>
        <w:tab/>
        <w:t xml:space="preserve">      </w:t>
      </w:r>
      <w:r w:rsidR="00157C11">
        <w:rPr>
          <w:rFonts w:ascii="Georgia" w:hAnsi="Georgia"/>
          <w:sz w:val="20"/>
          <w:szCs w:val="20"/>
        </w:rPr>
        <w:t xml:space="preserve">                     </w:t>
      </w:r>
      <w:r w:rsidRPr="002E6FB9">
        <w:rPr>
          <w:rFonts w:ascii="Georgia" w:hAnsi="Georgia"/>
          <w:sz w:val="20"/>
          <w:szCs w:val="20"/>
        </w:rPr>
        <w:t xml:space="preserve"> [short-term σ of comparable asset]</w:t>
      </w:r>
    </w:p>
    <w:p w14:paraId="55BF5202" w14:textId="34EF2B21" w:rsidR="00AE0F4A" w:rsidRDefault="002E6FB9" w:rsidP="002E6FB9">
      <w:pPr>
        <w:spacing w:line="360" w:lineRule="auto"/>
        <w:ind w:left="-288"/>
        <w:rPr>
          <w:rFonts w:ascii="Georgia" w:hAnsi="Georgia"/>
          <w:sz w:val="20"/>
          <w:szCs w:val="20"/>
        </w:rPr>
      </w:pPr>
      <w:r w:rsidRPr="002E6FB9">
        <w:rPr>
          <w:rFonts w:ascii="Georgia" w:hAnsi="Georgia"/>
          <w:sz w:val="20"/>
          <w:szCs w:val="20"/>
        </w:rPr>
        <w:t> </w:t>
      </w:r>
    </w:p>
    <w:p w14:paraId="19E8D75E" w14:textId="77777777" w:rsidR="00CC07A7" w:rsidRDefault="00CC07A7" w:rsidP="002E6FB9">
      <w:pPr>
        <w:spacing w:line="360" w:lineRule="auto"/>
        <w:ind w:left="-288"/>
        <w:rPr>
          <w:rFonts w:ascii="Georgia" w:hAnsi="Georgia"/>
          <w:sz w:val="20"/>
          <w:szCs w:val="20"/>
        </w:rPr>
      </w:pPr>
    </w:p>
    <w:p w14:paraId="193B3205" w14:textId="77777777" w:rsidR="00CC07A7" w:rsidRDefault="00CC07A7" w:rsidP="002E6FB9">
      <w:pPr>
        <w:spacing w:line="360" w:lineRule="auto"/>
        <w:ind w:left="-288"/>
        <w:rPr>
          <w:rFonts w:ascii="Georgia" w:hAnsi="Georgia"/>
          <w:sz w:val="20"/>
          <w:szCs w:val="20"/>
        </w:rPr>
      </w:pPr>
    </w:p>
    <w:p w14:paraId="3F379A81" w14:textId="77777777" w:rsidR="00CC07A7" w:rsidRDefault="00CC07A7" w:rsidP="002E6FB9">
      <w:pPr>
        <w:spacing w:line="360" w:lineRule="auto"/>
        <w:ind w:left="-288"/>
        <w:rPr>
          <w:rFonts w:ascii="Georgia" w:hAnsi="Georgia"/>
          <w:sz w:val="20"/>
          <w:szCs w:val="20"/>
        </w:rPr>
      </w:pPr>
    </w:p>
    <w:p w14:paraId="52CFA202" w14:textId="77777777" w:rsidR="00CC07A7" w:rsidRDefault="00CC07A7" w:rsidP="002E6FB9">
      <w:pPr>
        <w:spacing w:line="360" w:lineRule="auto"/>
        <w:ind w:left="-288"/>
        <w:rPr>
          <w:rFonts w:ascii="Georgia" w:hAnsi="Georgia"/>
          <w:sz w:val="20"/>
          <w:szCs w:val="20"/>
        </w:rPr>
      </w:pPr>
    </w:p>
    <w:p w14:paraId="12DF6D50" w14:textId="77777777" w:rsidR="00CC07A7" w:rsidRDefault="00CC07A7" w:rsidP="002E6FB9">
      <w:pPr>
        <w:spacing w:line="360" w:lineRule="auto"/>
        <w:ind w:left="-288"/>
        <w:rPr>
          <w:rFonts w:ascii="Georgia" w:hAnsi="Georgia"/>
          <w:sz w:val="20"/>
          <w:szCs w:val="20"/>
        </w:rPr>
      </w:pPr>
    </w:p>
    <w:p w14:paraId="364FCE1A" w14:textId="77777777" w:rsidR="00CC07A7" w:rsidRDefault="00CC07A7" w:rsidP="002E6FB9">
      <w:pPr>
        <w:spacing w:line="360" w:lineRule="auto"/>
        <w:ind w:left="-288"/>
        <w:rPr>
          <w:rFonts w:ascii="Georgia" w:hAnsi="Georgia"/>
          <w:sz w:val="20"/>
          <w:szCs w:val="20"/>
        </w:rPr>
      </w:pPr>
    </w:p>
    <w:p w14:paraId="2A9FAD39" w14:textId="77777777" w:rsidR="00CC07A7" w:rsidRDefault="00CC07A7" w:rsidP="002E6FB9">
      <w:pPr>
        <w:spacing w:line="360" w:lineRule="auto"/>
        <w:ind w:left="-288"/>
        <w:rPr>
          <w:rFonts w:ascii="Georgia" w:hAnsi="Georgia"/>
          <w:sz w:val="20"/>
          <w:szCs w:val="20"/>
        </w:rPr>
      </w:pPr>
    </w:p>
    <w:p w14:paraId="0B445C21" w14:textId="77777777" w:rsidR="00CC07A7" w:rsidRDefault="00CC07A7" w:rsidP="002E6FB9">
      <w:pPr>
        <w:spacing w:line="360" w:lineRule="auto"/>
        <w:ind w:left="-288"/>
        <w:rPr>
          <w:rFonts w:ascii="Georgia" w:hAnsi="Georgia"/>
          <w:sz w:val="20"/>
          <w:szCs w:val="20"/>
        </w:rPr>
      </w:pPr>
    </w:p>
    <w:p w14:paraId="064CD4FF" w14:textId="77777777" w:rsidR="00CC07A7" w:rsidRDefault="00CC07A7" w:rsidP="002E6FB9">
      <w:pPr>
        <w:spacing w:line="360" w:lineRule="auto"/>
        <w:ind w:left="-288"/>
        <w:rPr>
          <w:rFonts w:ascii="Georgia" w:hAnsi="Georgia"/>
          <w:sz w:val="20"/>
          <w:szCs w:val="20"/>
        </w:rPr>
      </w:pPr>
    </w:p>
    <w:p w14:paraId="63F16B62" w14:textId="77777777" w:rsidR="00CC07A7" w:rsidRDefault="00CC07A7" w:rsidP="002E6FB9">
      <w:pPr>
        <w:spacing w:line="360" w:lineRule="auto"/>
        <w:ind w:left="-288"/>
        <w:rPr>
          <w:rFonts w:ascii="Georgia" w:hAnsi="Georgia"/>
          <w:sz w:val="20"/>
          <w:szCs w:val="20"/>
        </w:rPr>
      </w:pPr>
    </w:p>
    <w:p w14:paraId="17FCFAD1" w14:textId="77777777" w:rsidR="00CC07A7" w:rsidRDefault="00CC07A7" w:rsidP="002E6FB9">
      <w:pPr>
        <w:spacing w:line="360" w:lineRule="auto"/>
        <w:ind w:left="-288"/>
        <w:rPr>
          <w:rFonts w:ascii="Georgia" w:hAnsi="Georgia"/>
          <w:sz w:val="20"/>
          <w:szCs w:val="20"/>
        </w:rPr>
      </w:pPr>
    </w:p>
    <w:p w14:paraId="2232C5CB" w14:textId="77777777" w:rsidR="00CC07A7" w:rsidRDefault="00CC07A7" w:rsidP="002E6FB9">
      <w:pPr>
        <w:spacing w:line="360" w:lineRule="auto"/>
        <w:ind w:left="-288"/>
        <w:rPr>
          <w:rFonts w:ascii="Georgia" w:hAnsi="Georgia"/>
          <w:sz w:val="20"/>
          <w:szCs w:val="20"/>
        </w:rPr>
      </w:pPr>
    </w:p>
    <w:p w14:paraId="30E96968" w14:textId="77777777" w:rsidR="00CC07A7" w:rsidRDefault="00CC07A7" w:rsidP="002E6FB9">
      <w:pPr>
        <w:spacing w:line="360" w:lineRule="auto"/>
        <w:ind w:left="-288"/>
        <w:rPr>
          <w:rFonts w:ascii="Georgia" w:hAnsi="Georgia"/>
          <w:sz w:val="20"/>
          <w:szCs w:val="20"/>
        </w:rPr>
      </w:pPr>
    </w:p>
    <w:p w14:paraId="3AF56961" w14:textId="77777777" w:rsidR="00CC07A7" w:rsidRDefault="00CC07A7" w:rsidP="002E6FB9">
      <w:pPr>
        <w:spacing w:line="360" w:lineRule="auto"/>
        <w:ind w:left="-288"/>
        <w:rPr>
          <w:rFonts w:ascii="Georgia" w:hAnsi="Georgia"/>
          <w:sz w:val="20"/>
          <w:szCs w:val="20"/>
        </w:rPr>
      </w:pPr>
    </w:p>
    <w:p w14:paraId="2320BE6B" w14:textId="77777777" w:rsidR="00AE0F4A" w:rsidRDefault="00AE0F4A" w:rsidP="00E735FD">
      <w:pPr>
        <w:spacing w:line="360" w:lineRule="auto"/>
        <w:ind w:left="-288"/>
        <w:rPr>
          <w:rFonts w:ascii="Georgia" w:hAnsi="Georgia"/>
          <w:sz w:val="20"/>
          <w:szCs w:val="20"/>
        </w:rPr>
      </w:pPr>
    </w:p>
    <w:p w14:paraId="2DC32CD8" w14:textId="77777777" w:rsidR="00AA5CB6" w:rsidRPr="00AA5CB6" w:rsidRDefault="00EB006F" w:rsidP="00AA5CB6">
      <w:pPr>
        <w:spacing w:line="360" w:lineRule="auto"/>
        <w:ind w:left="-288"/>
        <w:rPr>
          <w:rFonts w:ascii="Georgia" w:hAnsi="Georgia"/>
          <w:sz w:val="20"/>
          <w:szCs w:val="20"/>
        </w:rPr>
      </w:pPr>
      <w:r w:rsidRPr="00EB006F">
        <w:rPr>
          <w:rFonts w:ascii="Georgia" w:hAnsi="Georgia"/>
          <w:b/>
          <w:bCs/>
          <w:color w:val="009CDE"/>
          <w:sz w:val="28"/>
          <w:szCs w:val="36"/>
        </w:rPr>
        <w:lastRenderedPageBreak/>
        <w:t>APPENDIX 4: DIFFERENTIATING ARITHMETIC AND GEOMETRIC ASSUMPTIONS</w:t>
      </w:r>
      <w:r w:rsidR="000D675E">
        <w:rPr>
          <w:rFonts w:ascii="Georgia" w:hAnsi="Georgia"/>
          <w:b/>
          <w:bCs/>
          <w:color w:val="ED7D31" w:themeColor="accent2"/>
          <w:sz w:val="28"/>
          <w:szCs w:val="36"/>
        </w:rPr>
        <w:br/>
      </w:r>
      <w:r w:rsidR="00AA5CB6" w:rsidRPr="00270FF8">
        <w:rPr>
          <w:rFonts w:ascii="Georgia" w:hAnsi="Georgia"/>
          <w:b/>
          <w:bCs/>
          <w:sz w:val="20"/>
          <w:szCs w:val="20"/>
        </w:rPr>
        <w:t>1.</w:t>
      </w:r>
      <w:r w:rsidR="00AA5CB6" w:rsidRPr="00270FF8">
        <w:rPr>
          <w:rFonts w:ascii="Georgia" w:hAnsi="Georgia"/>
          <w:b/>
          <w:bCs/>
          <w:sz w:val="20"/>
          <w:szCs w:val="20"/>
        </w:rPr>
        <w:tab/>
        <w:t>ARITHMETIC RETURNS VS. GEOMETRIC RETURNS</w:t>
      </w:r>
    </w:p>
    <w:p w14:paraId="339C1956" w14:textId="77777777" w:rsidR="00AA5CB6" w:rsidRPr="00AA5CB6" w:rsidRDefault="00AA5CB6" w:rsidP="00AA5CB6">
      <w:pPr>
        <w:spacing w:line="360" w:lineRule="auto"/>
        <w:ind w:left="-288"/>
        <w:rPr>
          <w:rFonts w:ascii="Georgia" w:hAnsi="Georgia"/>
          <w:sz w:val="20"/>
          <w:szCs w:val="20"/>
        </w:rPr>
      </w:pPr>
    </w:p>
    <w:p w14:paraId="0684BAEF" w14:textId="77777777" w:rsidR="00AA5CB6" w:rsidRPr="00AA5CB6" w:rsidRDefault="00AA5CB6" w:rsidP="00AA5CB6">
      <w:pPr>
        <w:spacing w:line="360" w:lineRule="auto"/>
        <w:ind w:left="-288"/>
        <w:rPr>
          <w:rFonts w:ascii="Georgia" w:hAnsi="Georgia"/>
          <w:sz w:val="20"/>
          <w:szCs w:val="20"/>
        </w:rPr>
      </w:pPr>
      <w:r w:rsidRPr="00AA5CB6">
        <w:rPr>
          <w:rFonts w:ascii="Georgia" w:hAnsi="Georgia"/>
          <w:sz w:val="20"/>
          <w:szCs w:val="20"/>
        </w:rPr>
        <w:t>The arithmetic average annual return is always equal to or greater than a geometric (or compounded) annualized return.  Since the CAPM and the Black-</w:t>
      </w:r>
      <w:proofErr w:type="spellStart"/>
      <w:r w:rsidRPr="00AA5CB6">
        <w:rPr>
          <w:rFonts w:ascii="Georgia" w:hAnsi="Georgia"/>
          <w:sz w:val="20"/>
          <w:szCs w:val="20"/>
        </w:rPr>
        <w:t>Litterman</w:t>
      </w:r>
      <w:proofErr w:type="spellEnd"/>
      <w:r w:rsidRPr="00AA5CB6">
        <w:rPr>
          <w:rFonts w:ascii="Georgia" w:hAnsi="Georgia"/>
          <w:sz w:val="20"/>
          <w:szCs w:val="20"/>
        </w:rPr>
        <w:t xml:space="preserve"> are single time period models, they forecast an arithmetic return (i.e., one-year). On the other hand, geometric returns are more appropriate for quantifying expected holding period returns (i.e., 10-years).</w:t>
      </w:r>
    </w:p>
    <w:p w14:paraId="2D040944" w14:textId="77777777" w:rsidR="00AA5CB6" w:rsidRPr="00AA5CB6" w:rsidRDefault="00AA5CB6" w:rsidP="00AA5CB6">
      <w:pPr>
        <w:spacing w:line="360" w:lineRule="auto"/>
        <w:ind w:left="-288"/>
        <w:rPr>
          <w:rFonts w:ascii="Georgia" w:hAnsi="Georgia"/>
          <w:sz w:val="20"/>
          <w:szCs w:val="20"/>
        </w:rPr>
      </w:pPr>
    </w:p>
    <w:p w14:paraId="0EE43027" w14:textId="77777777" w:rsidR="00AA5CB6" w:rsidRPr="00270FF8" w:rsidRDefault="00AA5CB6" w:rsidP="00AA5CB6">
      <w:pPr>
        <w:spacing w:line="360" w:lineRule="auto"/>
        <w:ind w:left="-288"/>
        <w:rPr>
          <w:rFonts w:ascii="Georgia" w:hAnsi="Georgia"/>
          <w:b/>
          <w:bCs/>
          <w:sz w:val="20"/>
          <w:szCs w:val="20"/>
        </w:rPr>
      </w:pPr>
      <w:r w:rsidRPr="00270FF8">
        <w:rPr>
          <w:rFonts w:ascii="Georgia" w:hAnsi="Georgia"/>
          <w:b/>
          <w:bCs/>
          <w:sz w:val="20"/>
          <w:szCs w:val="20"/>
        </w:rPr>
        <w:t>Geometric Return = [Arithmetic Return] – [(Standard Deviation)2] / 2</w:t>
      </w:r>
    </w:p>
    <w:p w14:paraId="6317EF5B" w14:textId="77777777" w:rsidR="00AA5CB6" w:rsidRPr="00AA5CB6" w:rsidRDefault="00AA5CB6" w:rsidP="00AA5CB6">
      <w:pPr>
        <w:spacing w:line="360" w:lineRule="auto"/>
        <w:ind w:left="-288"/>
        <w:rPr>
          <w:rFonts w:ascii="Georgia" w:hAnsi="Georgia"/>
          <w:sz w:val="20"/>
          <w:szCs w:val="20"/>
        </w:rPr>
      </w:pPr>
    </w:p>
    <w:p w14:paraId="28464FD3" w14:textId="77777777" w:rsidR="00AA5CB6" w:rsidRPr="00AA5CB6" w:rsidRDefault="00AA5CB6" w:rsidP="00AA5CB6">
      <w:pPr>
        <w:spacing w:line="360" w:lineRule="auto"/>
        <w:ind w:left="-288"/>
        <w:rPr>
          <w:rFonts w:ascii="Georgia" w:hAnsi="Georgia"/>
          <w:sz w:val="20"/>
          <w:szCs w:val="20"/>
        </w:rPr>
      </w:pPr>
      <w:r w:rsidRPr="00AA5CB6">
        <w:rPr>
          <w:rFonts w:ascii="Georgia" w:hAnsi="Georgia"/>
          <w:sz w:val="20"/>
          <w:szCs w:val="20"/>
        </w:rPr>
        <w:t>The Frontier Engineer® asset allocation modeling seeks to optimize (the median expected) aggregate portfolio geometric returns (per unit risk) rather than arithmetic returns (per unit risk).</w:t>
      </w:r>
    </w:p>
    <w:p w14:paraId="2C711C5B" w14:textId="77777777" w:rsidR="00AA5CB6" w:rsidRPr="00AA5CB6" w:rsidRDefault="00AA5CB6" w:rsidP="00AA5CB6">
      <w:pPr>
        <w:spacing w:line="360" w:lineRule="auto"/>
        <w:ind w:left="-288"/>
        <w:rPr>
          <w:rFonts w:ascii="Georgia" w:hAnsi="Georgia"/>
          <w:sz w:val="20"/>
          <w:szCs w:val="20"/>
        </w:rPr>
      </w:pPr>
    </w:p>
    <w:p w14:paraId="0A59AC93" w14:textId="77777777" w:rsidR="00AA5CB6" w:rsidRPr="00270FF8" w:rsidRDefault="00AA5CB6" w:rsidP="00AA5CB6">
      <w:pPr>
        <w:spacing w:line="360" w:lineRule="auto"/>
        <w:ind w:left="-288"/>
        <w:rPr>
          <w:rFonts w:ascii="Georgia" w:hAnsi="Georgia"/>
          <w:b/>
          <w:bCs/>
          <w:sz w:val="20"/>
          <w:szCs w:val="20"/>
        </w:rPr>
      </w:pPr>
      <w:r w:rsidRPr="00270FF8">
        <w:rPr>
          <w:rFonts w:ascii="Georgia" w:hAnsi="Georgia"/>
          <w:b/>
          <w:bCs/>
          <w:sz w:val="20"/>
          <w:szCs w:val="20"/>
        </w:rPr>
        <w:t>2.</w:t>
      </w:r>
      <w:r w:rsidRPr="00270FF8">
        <w:rPr>
          <w:rFonts w:ascii="Georgia" w:hAnsi="Georgia"/>
          <w:b/>
          <w:bCs/>
          <w:sz w:val="20"/>
          <w:szCs w:val="20"/>
        </w:rPr>
        <w:tab/>
        <w:t>OPTIMIZING FOR GEOMETRIC RETURN</w:t>
      </w:r>
    </w:p>
    <w:p w14:paraId="2D3E2AE4" w14:textId="77777777" w:rsidR="00AA5CB6" w:rsidRPr="00AA5CB6" w:rsidRDefault="00AA5CB6" w:rsidP="00AA5CB6">
      <w:pPr>
        <w:spacing w:line="360" w:lineRule="auto"/>
        <w:ind w:left="-288"/>
        <w:rPr>
          <w:rFonts w:ascii="Georgia" w:hAnsi="Georgia"/>
          <w:sz w:val="20"/>
          <w:szCs w:val="20"/>
        </w:rPr>
      </w:pPr>
    </w:p>
    <w:p w14:paraId="45003C1A" w14:textId="77777777" w:rsidR="00AA5CB6" w:rsidRPr="00AA5CB6" w:rsidRDefault="00AA5CB6" w:rsidP="00AA5CB6">
      <w:pPr>
        <w:spacing w:line="360" w:lineRule="auto"/>
        <w:ind w:left="-288"/>
        <w:rPr>
          <w:rFonts w:ascii="Georgia" w:hAnsi="Georgia"/>
          <w:sz w:val="20"/>
          <w:szCs w:val="20"/>
        </w:rPr>
      </w:pPr>
      <w:r w:rsidRPr="00AA5CB6">
        <w:rPr>
          <w:rFonts w:ascii="Georgia" w:hAnsi="Georgia"/>
          <w:sz w:val="20"/>
          <w:szCs w:val="20"/>
        </w:rPr>
        <w:t>If two assets have the same expected return (and low correlation), they can be combined in a portfolio to generate a higher holding period return (geometric) than either two investments on a segregated basis. The following example shows how two investments with 10% expected arithmetic returns and 20% expected annual standard deviations can be combined in a portfolio to generate a higher time horizon return (geometric) than either on a segregated basis (correlation = 0).</w:t>
      </w:r>
    </w:p>
    <w:p w14:paraId="350E9207" w14:textId="77777777" w:rsidR="00AA5CB6" w:rsidRPr="00AA5CB6" w:rsidRDefault="00AA5CB6" w:rsidP="00AA5CB6">
      <w:pPr>
        <w:spacing w:line="360" w:lineRule="auto"/>
        <w:ind w:left="-288"/>
        <w:rPr>
          <w:rFonts w:ascii="Georgia" w:hAnsi="Georgia"/>
          <w:sz w:val="20"/>
          <w:szCs w:val="20"/>
        </w:rPr>
      </w:pPr>
    </w:p>
    <w:p w14:paraId="0B04F58E" w14:textId="77777777" w:rsidR="00AA5CB6" w:rsidRPr="00AA5CB6" w:rsidRDefault="00AA5CB6" w:rsidP="00AA5CB6">
      <w:pPr>
        <w:spacing w:line="360" w:lineRule="auto"/>
        <w:ind w:left="-288"/>
        <w:rPr>
          <w:rFonts w:ascii="Georgia" w:hAnsi="Georgia"/>
          <w:sz w:val="20"/>
          <w:szCs w:val="20"/>
        </w:rPr>
      </w:pPr>
      <w:r w:rsidRPr="00AA5CB6">
        <w:rPr>
          <w:rFonts w:ascii="Georgia" w:hAnsi="Georgia"/>
          <w:sz w:val="20"/>
          <w:szCs w:val="20"/>
        </w:rPr>
        <w:t>Expected Arithmetic Return (2 asset portfolio) = w1*(AR1) + w2*(AR2)</w:t>
      </w:r>
    </w:p>
    <w:p w14:paraId="584D0859" w14:textId="77777777" w:rsidR="00AA5CB6" w:rsidRPr="00AA5CB6" w:rsidRDefault="00AA5CB6" w:rsidP="00AA5CB6">
      <w:pPr>
        <w:spacing w:line="360" w:lineRule="auto"/>
        <w:ind w:left="-288"/>
        <w:rPr>
          <w:rFonts w:ascii="Georgia" w:hAnsi="Georgia"/>
          <w:sz w:val="20"/>
          <w:szCs w:val="20"/>
        </w:rPr>
      </w:pPr>
      <w:r w:rsidRPr="00AA5CB6">
        <w:rPr>
          <w:rFonts w:ascii="Georgia" w:hAnsi="Georgia"/>
          <w:sz w:val="20"/>
          <w:szCs w:val="20"/>
        </w:rPr>
        <w:t>Expected Arithmetic Return (2 asset portfolio) = 0.50*10% + 0.50*10% = 10.0%</w:t>
      </w:r>
    </w:p>
    <w:p w14:paraId="1E462E47" w14:textId="77777777" w:rsidR="00AA5CB6" w:rsidRPr="00AA5CB6" w:rsidRDefault="00AA5CB6" w:rsidP="00AA5CB6">
      <w:pPr>
        <w:spacing w:line="360" w:lineRule="auto"/>
        <w:ind w:left="-288"/>
        <w:rPr>
          <w:rFonts w:ascii="Georgia" w:hAnsi="Georgia"/>
          <w:sz w:val="20"/>
          <w:szCs w:val="20"/>
        </w:rPr>
      </w:pPr>
      <w:r w:rsidRPr="00AA5CB6">
        <w:rPr>
          <w:rFonts w:ascii="Georgia" w:hAnsi="Georgia"/>
          <w:sz w:val="20"/>
          <w:szCs w:val="20"/>
        </w:rPr>
        <w:t>AR1 = Arithmetic Return of asset 1</w:t>
      </w:r>
    </w:p>
    <w:p w14:paraId="056A1B82" w14:textId="77777777" w:rsidR="00AA5CB6" w:rsidRPr="00AA5CB6" w:rsidRDefault="00AA5CB6" w:rsidP="00AA5CB6">
      <w:pPr>
        <w:spacing w:line="360" w:lineRule="auto"/>
        <w:ind w:left="-288"/>
        <w:rPr>
          <w:rFonts w:ascii="Georgia" w:hAnsi="Georgia"/>
          <w:sz w:val="20"/>
          <w:szCs w:val="20"/>
        </w:rPr>
      </w:pPr>
      <w:r w:rsidRPr="00AA5CB6">
        <w:rPr>
          <w:rFonts w:ascii="Georgia" w:hAnsi="Georgia"/>
          <w:sz w:val="20"/>
          <w:szCs w:val="20"/>
        </w:rPr>
        <w:t>AR2 = Arithmetic Return of asset 2</w:t>
      </w:r>
    </w:p>
    <w:p w14:paraId="52AE092A" w14:textId="77777777" w:rsidR="00AA5CB6" w:rsidRPr="00AA5CB6" w:rsidRDefault="00AA5CB6" w:rsidP="00AA5CB6">
      <w:pPr>
        <w:spacing w:line="360" w:lineRule="auto"/>
        <w:ind w:left="-288"/>
        <w:rPr>
          <w:rFonts w:ascii="Georgia" w:hAnsi="Georgia"/>
          <w:sz w:val="20"/>
          <w:szCs w:val="20"/>
        </w:rPr>
      </w:pPr>
      <w:r w:rsidRPr="00AA5CB6">
        <w:rPr>
          <w:rFonts w:ascii="Georgia" w:hAnsi="Georgia"/>
          <w:sz w:val="20"/>
          <w:szCs w:val="20"/>
        </w:rPr>
        <w:t>w1 = weight of asset 1</w:t>
      </w:r>
    </w:p>
    <w:p w14:paraId="79A28046" w14:textId="77777777" w:rsidR="00AA5CB6" w:rsidRPr="00AA5CB6" w:rsidRDefault="00AA5CB6" w:rsidP="00AA5CB6">
      <w:pPr>
        <w:spacing w:line="360" w:lineRule="auto"/>
        <w:ind w:left="-288"/>
        <w:rPr>
          <w:rFonts w:ascii="Georgia" w:hAnsi="Georgia"/>
          <w:sz w:val="20"/>
          <w:szCs w:val="20"/>
        </w:rPr>
      </w:pPr>
      <w:r w:rsidRPr="00AA5CB6">
        <w:rPr>
          <w:rFonts w:ascii="Georgia" w:hAnsi="Georgia"/>
          <w:sz w:val="20"/>
          <w:szCs w:val="20"/>
        </w:rPr>
        <w:t>w2 = weight of asset 2</w:t>
      </w:r>
    </w:p>
    <w:p w14:paraId="6A1FEC79" w14:textId="77777777" w:rsidR="00AA5CB6" w:rsidRPr="00AA5CB6" w:rsidRDefault="00AA5CB6" w:rsidP="00AA5CB6">
      <w:pPr>
        <w:spacing w:line="360" w:lineRule="auto"/>
        <w:ind w:left="-288"/>
        <w:rPr>
          <w:rFonts w:ascii="Georgia" w:hAnsi="Georgia"/>
          <w:sz w:val="20"/>
          <w:szCs w:val="20"/>
        </w:rPr>
      </w:pPr>
    </w:p>
    <w:p w14:paraId="65BFBF49" w14:textId="77777777" w:rsidR="00AA5CB6" w:rsidRPr="00AA5CB6" w:rsidRDefault="00AA5CB6" w:rsidP="00AA5CB6">
      <w:pPr>
        <w:spacing w:line="360" w:lineRule="auto"/>
        <w:ind w:left="-288"/>
        <w:rPr>
          <w:rFonts w:ascii="Georgia" w:hAnsi="Georgia"/>
          <w:sz w:val="20"/>
          <w:szCs w:val="20"/>
        </w:rPr>
      </w:pPr>
      <w:r w:rsidRPr="00AA5CB6">
        <w:rPr>
          <w:rFonts w:ascii="Georgia" w:hAnsi="Georgia"/>
          <w:sz w:val="20"/>
          <w:szCs w:val="20"/>
        </w:rPr>
        <w:t>Expected Standard Deviation (2 asset portfolio) = √[(w12*σ12+w22*σ22) + (2*w1*w2*σ1*σ2*r(1,2))]</w:t>
      </w:r>
    </w:p>
    <w:p w14:paraId="081A51DA" w14:textId="77777777" w:rsidR="00AA5CB6" w:rsidRPr="00AA5CB6" w:rsidRDefault="00AA5CB6" w:rsidP="00AA5CB6">
      <w:pPr>
        <w:spacing w:line="360" w:lineRule="auto"/>
        <w:ind w:left="-288"/>
        <w:rPr>
          <w:rFonts w:ascii="Georgia" w:hAnsi="Georgia"/>
          <w:sz w:val="20"/>
          <w:szCs w:val="20"/>
        </w:rPr>
      </w:pPr>
      <w:r w:rsidRPr="00AA5CB6">
        <w:rPr>
          <w:rFonts w:ascii="Georgia" w:hAnsi="Georgia"/>
          <w:sz w:val="20"/>
          <w:szCs w:val="20"/>
        </w:rPr>
        <w:t>Expected Standard Deviation (2 asset portfolio) = √[(0.502*0.202+0.502*0.202) + (2*0.50*0.50*0.20*0.20*0.00)] = 14.1%</w:t>
      </w:r>
    </w:p>
    <w:p w14:paraId="74C2D51C" w14:textId="77777777" w:rsidR="00AA5CB6" w:rsidRPr="00AA5CB6" w:rsidRDefault="00AA5CB6" w:rsidP="00AA5CB6">
      <w:pPr>
        <w:spacing w:line="360" w:lineRule="auto"/>
        <w:ind w:left="-288"/>
        <w:rPr>
          <w:rFonts w:ascii="Georgia" w:hAnsi="Georgia"/>
          <w:sz w:val="20"/>
          <w:szCs w:val="20"/>
        </w:rPr>
      </w:pPr>
      <w:r w:rsidRPr="00AA5CB6">
        <w:rPr>
          <w:rFonts w:ascii="Georgia" w:hAnsi="Georgia"/>
          <w:sz w:val="20"/>
          <w:szCs w:val="20"/>
        </w:rPr>
        <w:t>w1 = weight of asset 1</w:t>
      </w:r>
    </w:p>
    <w:p w14:paraId="717686DC" w14:textId="77777777" w:rsidR="00AA5CB6" w:rsidRPr="00AA5CB6" w:rsidRDefault="00AA5CB6" w:rsidP="00AA5CB6">
      <w:pPr>
        <w:spacing w:line="360" w:lineRule="auto"/>
        <w:ind w:left="-288"/>
        <w:rPr>
          <w:rFonts w:ascii="Georgia" w:hAnsi="Georgia"/>
          <w:sz w:val="20"/>
          <w:szCs w:val="20"/>
        </w:rPr>
      </w:pPr>
      <w:r w:rsidRPr="00AA5CB6">
        <w:rPr>
          <w:rFonts w:ascii="Georgia" w:hAnsi="Georgia"/>
          <w:sz w:val="20"/>
          <w:szCs w:val="20"/>
        </w:rPr>
        <w:t>w2 = weight of asset 2</w:t>
      </w:r>
    </w:p>
    <w:p w14:paraId="6B209124" w14:textId="77777777" w:rsidR="00AA5CB6" w:rsidRPr="00AA5CB6" w:rsidRDefault="00AA5CB6" w:rsidP="00AA5CB6">
      <w:pPr>
        <w:spacing w:line="360" w:lineRule="auto"/>
        <w:ind w:left="-288"/>
        <w:rPr>
          <w:rFonts w:ascii="Georgia" w:hAnsi="Georgia"/>
          <w:sz w:val="20"/>
          <w:szCs w:val="20"/>
        </w:rPr>
      </w:pPr>
      <w:r w:rsidRPr="00AA5CB6">
        <w:rPr>
          <w:rFonts w:ascii="Georgia" w:hAnsi="Georgia"/>
          <w:sz w:val="20"/>
          <w:szCs w:val="20"/>
        </w:rPr>
        <w:t>σ1 = standard deviation of asset 1</w:t>
      </w:r>
    </w:p>
    <w:p w14:paraId="5B6D0F95" w14:textId="77777777" w:rsidR="00AA5CB6" w:rsidRPr="00AA5CB6" w:rsidRDefault="00AA5CB6" w:rsidP="00AA5CB6">
      <w:pPr>
        <w:spacing w:line="360" w:lineRule="auto"/>
        <w:ind w:left="-288"/>
        <w:rPr>
          <w:rFonts w:ascii="Georgia" w:hAnsi="Georgia"/>
          <w:sz w:val="20"/>
          <w:szCs w:val="20"/>
        </w:rPr>
      </w:pPr>
      <w:r w:rsidRPr="00AA5CB6">
        <w:rPr>
          <w:rFonts w:ascii="Georgia" w:hAnsi="Georgia"/>
          <w:sz w:val="20"/>
          <w:szCs w:val="20"/>
        </w:rPr>
        <w:t>σ2 = standard deviation of asset 2</w:t>
      </w:r>
    </w:p>
    <w:p w14:paraId="01FBAA90" w14:textId="77777777" w:rsidR="00AA5CB6" w:rsidRPr="00AA5CB6" w:rsidRDefault="00AA5CB6" w:rsidP="00AA5CB6">
      <w:pPr>
        <w:spacing w:line="360" w:lineRule="auto"/>
        <w:ind w:left="-288"/>
        <w:rPr>
          <w:rFonts w:ascii="Georgia" w:hAnsi="Georgia"/>
          <w:sz w:val="20"/>
          <w:szCs w:val="20"/>
        </w:rPr>
      </w:pPr>
      <w:r w:rsidRPr="00AA5CB6">
        <w:rPr>
          <w:rFonts w:ascii="Georgia" w:hAnsi="Georgia"/>
          <w:sz w:val="20"/>
          <w:szCs w:val="20"/>
        </w:rPr>
        <w:t>r(1,2) =Correlation between asset 1 and 2</w:t>
      </w:r>
    </w:p>
    <w:p w14:paraId="2ECB0B37" w14:textId="77777777" w:rsidR="00AA5CB6" w:rsidRPr="00AA5CB6" w:rsidRDefault="00AA5CB6" w:rsidP="00AA5CB6">
      <w:pPr>
        <w:spacing w:line="360" w:lineRule="auto"/>
        <w:ind w:left="-288"/>
        <w:rPr>
          <w:rFonts w:ascii="Georgia" w:hAnsi="Georgia"/>
          <w:sz w:val="20"/>
          <w:szCs w:val="20"/>
        </w:rPr>
      </w:pPr>
    </w:p>
    <w:p w14:paraId="3E79F99A" w14:textId="77777777" w:rsidR="00AA5CB6" w:rsidRPr="00AA5CB6" w:rsidRDefault="00AA5CB6" w:rsidP="00AA5CB6">
      <w:pPr>
        <w:spacing w:line="360" w:lineRule="auto"/>
        <w:ind w:left="-288"/>
        <w:rPr>
          <w:rFonts w:ascii="Georgia" w:hAnsi="Georgia"/>
          <w:sz w:val="20"/>
          <w:szCs w:val="20"/>
        </w:rPr>
      </w:pPr>
      <w:r w:rsidRPr="00AA5CB6">
        <w:rPr>
          <w:rFonts w:ascii="Georgia" w:hAnsi="Georgia"/>
          <w:sz w:val="20"/>
          <w:szCs w:val="20"/>
        </w:rPr>
        <w:t>As previously stated, geometric return = arithmetic return – σ2/2</w:t>
      </w:r>
    </w:p>
    <w:p w14:paraId="68695166" w14:textId="77777777" w:rsidR="00AA5CB6" w:rsidRPr="00AA5CB6" w:rsidRDefault="00AA5CB6" w:rsidP="00AA5CB6">
      <w:pPr>
        <w:spacing w:line="360" w:lineRule="auto"/>
        <w:ind w:left="-288"/>
        <w:rPr>
          <w:rFonts w:ascii="Georgia" w:hAnsi="Georgia"/>
          <w:sz w:val="20"/>
          <w:szCs w:val="20"/>
        </w:rPr>
      </w:pPr>
    </w:p>
    <w:p w14:paraId="2B64A8B2" w14:textId="77777777" w:rsidR="00AA5CB6" w:rsidRPr="00AA5CB6" w:rsidRDefault="00AA5CB6" w:rsidP="00AA5CB6">
      <w:pPr>
        <w:spacing w:line="360" w:lineRule="auto"/>
        <w:ind w:left="-288"/>
        <w:rPr>
          <w:rFonts w:ascii="Georgia" w:hAnsi="Georgia"/>
          <w:sz w:val="20"/>
          <w:szCs w:val="20"/>
        </w:rPr>
      </w:pPr>
      <w:r w:rsidRPr="00AA5CB6">
        <w:rPr>
          <w:rFonts w:ascii="Georgia" w:hAnsi="Georgia"/>
          <w:sz w:val="20"/>
          <w:szCs w:val="20"/>
        </w:rPr>
        <w:t>•</w:t>
      </w:r>
      <w:r w:rsidRPr="00AA5CB6">
        <w:rPr>
          <w:rFonts w:ascii="Georgia" w:hAnsi="Georgia"/>
          <w:sz w:val="20"/>
          <w:szCs w:val="20"/>
        </w:rPr>
        <w:tab/>
        <w:t>Expected Geometric Return (Asset 1 in vacuum) = 10% - 20%2/2 = 8.0%</w:t>
      </w:r>
    </w:p>
    <w:p w14:paraId="4FA88B0E" w14:textId="77777777" w:rsidR="00AA5CB6" w:rsidRPr="00AA5CB6" w:rsidRDefault="00AA5CB6" w:rsidP="00AA5CB6">
      <w:pPr>
        <w:spacing w:line="360" w:lineRule="auto"/>
        <w:ind w:left="-288"/>
        <w:rPr>
          <w:rFonts w:ascii="Georgia" w:hAnsi="Georgia"/>
          <w:sz w:val="20"/>
          <w:szCs w:val="20"/>
        </w:rPr>
      </w:pPr>
      <w:r w:rsidRPr="00AA5CB6">
        <w:rPr>
          <w:rFonts w:ascii="Georgia" w:hAnsi="Georgia"/>
          <w:sz w:val="20"/>
          <w:szCs w:val="20"/>
        </w:rPr>
        <w:t>•</w:t>
      </w:r>
      <w:r w:rsidRPr="00AA5CB6">
        <w:rPr>
          <w:rFonts w:ascii="Georgia" w:hAnsi="Georgia"/>
          <w:sz w:val="20"/>
          <w:szCs w:val="20"/>
        </w:rPr>
        <w:tab/>
        <w:t>Expected Geometric Return (Asset 2 in vacuum) = 10% - 20%2/2 = 8.0%</w:t>
      </w:r>
    </w:p>
    <w:p w14:paraId="0FEB827D" w14:textId="77777777" w:rsidR="00AA5CB6" w:rsidRPr="00AA5CB6" w:rsidRDefault="00AA5CB6" w:rsidP="00AA5CB6">
      <w:pPr>
        <w:spacing w:line="360" w:lineRule="auto"/>
        <w:ind w:left="-288"/>
        <w:rPr>
          <w:rFonts w:ascii="Georgia" w:hAnsi="Georgia"/>
          <w:sz w:val="20"/>
          <w:szCs w:val="20"/>
        </w:rPr>
      </w:pPr>
      <w:r w:rsidRPr="00AA5CB6">
        <w:rPr>
          <w:rFonts w:ascii="Georgia" w:hAnsi="Georgia"/>
          <w:sz w:val="20"/>
          <w:szCs w:val="20"/>
        </w:rPr>
        <w:t>•</w:t>
      </w:r>
      <w:r w:rsidRPr="00AA5CB6">
        <w:rPr>
          <w:rFonts w:ascii="Georgia" w:hAnsi="Georgia"/>
          <w:sz w:val="20"/>
          <w:szCs w:val="20"/>
        </w:rPr>
        <w:tab/>
        <w:t>Expected Geometric Return (50/50 Portfolio) = 10% - 14.1%2/2 = 9.0%</w:t>
      </w:r>
    </w:p>
    <w:p w14:paraId="58F9A630" w14:textId="77777777" w:rsidR="00AA5CB6" w:rsidRPr="00AA5CB6" w:rsidRDefault="00AA5CB6" w:rsidP="00AA5CB6">
      <w:pPr>
        <w:spacing w:line="360" w:lineRule="auto"/>
        <w:ind w:left="-288"/>
        <w:rPr>
          <w:rFonts w:ascii="Georgia" w:hAnsi="Georgia"/>
          <w:sz w:val="20"/>
          <w:szCs w:val="20"/>
        </w:rPr>
      </w:pPr>
    </w:p>
    <w:p w14:paraId="7C6962CA" w14:textId="77777777" w:rsidR="00AA5CB6" w:rsidRPr="0094241F" w:rsidRDefault="00AA5CB6" w:rsidP="00AA5CB6">
      <w:pPr>
        <w:spacing w:line="360" w:lineRule="auto"/>
        <w:ind w:left="-288"/>
        <w:rPr>
          <w:rFonts w:ascii="Georgia" w:hAnsi="Georgia"/>
          <w:b/>
          <w:bCs/>
          <w:sz w:val="20"/>
          <w:szCs w:val="20"/>
        </w:rPr>
      </w:pPr>
      <w:r w:rsidRPr="0094241F">
        <w:rPr>
          <w:rFonts w:ascii="Georgia" w:hAnsi="Georgia"/>
          <w:b/>
          <w:bCs/>
          <w:sz w:val="20"/>
          <w:szCs w:val="20"/>
        </w:rPr>
        <w:t>3.</w:t>
      </w:r>
      <w:r w:rsidRPr="0094241F">
        <w:rPr>
          <w:rFonts w:ascii="Georgia" w:hAnsi="Georgia"/>
          <w:b/>
          <w:bCs/>
          <w:sz w:val="20"/>
          <w:szCs w:val="20"/>
        </w:rPr>
        <w:tab/>
        <w:t>Conclusion</w:t>
      </w:r>
    </w:p>
    <w:p w14:paraId="7E53F8BD" w14:textId="71FFDA0A" w:rsidR="00AE0F4A" w:rsidRDefault="00AA5CB6" w:rsidP="00AA5CB6">
      <w:pPr>
        <w:spacing w:line="360" w:lineRule="auto"/>
        <w:ind w:left="-288"/>
        <w:rPr>
          <w:rFonts w:ascii="Georgia" w:hAnsi="Georgia"/>
          <w:sz w:val="20"/>
          <w:szCs w:val="20"/>
        </w:rPr>
      </w:pPr>
      <w:r w:rsidRPr="00AA5CB6">
        <w:rPr>
          <w:rFonts w:ascii="Georgia" w:hAnsi="Georgia"/>
          <w:sz w:val="20"/>
          <w:szCs w:val="20"/>
        </w:rPr>
        <w:t>Two low correlating assets with the same arithmetic return have a higher geometric return when combined within a portfolio (and rebalanced) than either one has on a stand-alone basis.</w:t>
      </w:r>
    </w:p>
    <w:p w14:paraId="2313DBBB" w14:textId="77777777" w:rsidR="00AA5CB6" w:rsidRDefault="00AA5CB6" w:rsidP="00AA5CB6">
      <w:pPr>
        <w:spacing w:line="360" w:lineRule="auto"/>
        <w:ind w:left="-288"/>
        <w:rPr>
          <w:rFonts w:ascii="Georgia" w:hAnsi="Georgia"/>
          <w:sz w:val="20"/>
          <w:szCs w:val="20"/>
        </w:rPr>
      </w:pPr>
    </w:p>
    <w:p w14:paraId="70711833" w14:textId="77777777" w:rsidR="00CC07A7" w:rsidRDefault="00CC07A7" w:rsidP="00AA5CB6">
      <w:pPr>
        <w:spacing w:line="360" w:lineRule="auto"/>
        <w:ind w:left="-288"/>
        <w:rPr>
          <w:rFonts w:ascii="Georgia" w:hAnsi="Georgia"/>
          <w:sz w:val="20"/>
          <w:szCs w:val="20"/>
        </w:rPr>
      </w:pPr>
    </w:p>
    <w:p w14:paraId="2EBE438D" w14:textId="77777777" w:rsidR="00CC07A7" w:rsidRDefault="00CC07A7" w:rsidP="00AA5CB6">
      <w:pPr>
        <w:spacing w:line="360" w:lineRule="auto"/>
        <w:ind w:left="-288"/>
        <w:rPr>
          <w:rFonts w:ascii="Georgia" w:hAnsi="Georgia"/>
          <w:sz w:val="20"/>
          <w:szCs w:val="20"/>
        </w:rPr>
      </w:pPr>
    </w:p>
    <w:p w14:paraId="26C2C12C" w14:textId="77777777" w:rsidR="00CC07A7" w:rsidRDefault="00CC07A7" w:rsidP="00AA5CB6">
      <w:pPr>
        <w:spacing w:line="360" w:lineRule="auto"/>
        <w:ind w:left="-288"/>
        <w:rPr>
          <w:rFonts w:ascii="Georgia" w:hAnsi="Georgia"/>
          <w:sz w:val="20"/>
          <w:szCs w:val="20"/>
        </w:rPr>
      </w:pPr>
    </w:p>
    <w:p w14:paraId="066C943D" w14:textId="77777777" w:rsidR="00CC07A7" w:rsidRDefault="00CC07A7" w:rsidP="00AA5CB6">
      <w:pPr>
        <w:spacing w:line="360" w:lineRule="auto"/>
        <w:ind w:left="-288"/>
        <w:rPr>
          <w:rFonts w:ascii="Georgia" w:hAnsi="Georgia"/>
          <w:sz w:val="20"/>
          <w:szCs w:val="20"/>
        </w:rPr>
      </w:pPr>
    </w:p>
    <w:p w14:paraId="5137A5BD" w14:textId="77777777" w:rsidR="00CC07A7" w:rsidRDefault="00CC07A7" w:rsidP="00AA5CB6">
      <w:pPr>
        <w:spacing w:line="360" w:lineRule="auto"/>
        <w:ind w:left="-288"/>
        <w:rPr>
          <w:rFonts w:ascii="Georgia" w:hAnsi="Georgia"/>
          <w:sz w:val="20"/>
          <w:szCs w:val="20"/>
        </w:rPr>
      </w:pPr>
    </w:p>
    <w:p w14:paraId="0B635A90" w14:textId="77777777" w:rsidR="00CC07A7" w:rsidRDefault="00CC07A7" w:rsidP="00AA5CB6">
      <w:pPr>
        <w:spacing w:line="360" w:lineRule="auto"/>
        <w:ind w:left="-288"/>
        <w:rPr>
          <w:rFonts w:ascii="Georgia" w:hAnsi="Georgia"/>
          <w:sz w:val="20"/>
          <w:szCs w:val="20"/>
        </w:rPr>
      </w:pPr>
    </w:p>
    <w:p w14:paraId="7CBF3602" w14:textId="77777777" w:rsidR="00CC07A7" w:rsidRDefault="00CC07A7" w:rsidP="00AA5CB6">
      <w:pPr>
        <w:spacing w:line="360" w:lineRule="auto"/>
        <w:ind w:left="-288"/>
        <w:rPr>
          <w:rFonts w:ascii="Georgia" w:hAnsi="Georgia"/>
          <w:sz w:val="20"/>
          <w:szCs w:val="20"/>
        </w:rPr>
      </w:pPr>
    </w:p>
    <w:p w14:paraId="5228F89F" w14:textId="77777777" w:rsidR="00CC07A7" w:rsidRDefault="00CC07A7" w:rsidP="00AA5CB6">
      <w:pPr>
        <w:spacing w:line="360" w:lineRule="auto"/>
        <w:ind w:left="-288"/>
        <w:rPr>
          <w:rFonts w:ascii="Georgia" w:hAnsi="Georgia"/>
          <w:sz w:val="20"/>
          <w:szCs w:val="20"/>
        </w:rPr>
      </w:pPr>
    </w:p>
    <w:p w14:paraId="342DA22F" w14:textId="77777777" w:rsidR="00CC07A7" w:rsidRDefault="00CC07A7" w:rsidP="00AA5CB6">
      <w:pPr>
        <w:spacing w:line="360" w:lineRule="auto"/>
        <w:ind w:left="-288"/>
        <w:rPr>
          <w:rFonts w:ascii="Georgia" w:hAnsi="Georgia"/>
          <w:sz w:val="20"/>
          <w:szCs w:val="20"/>
        </w:rPr>
      </w:pPr>
    </w:p>
    <w:p w14:paraId="6BC6E7A5" w14:textId="77777777" w:rsidR="00CC07A7" w:rsidRDefault="00CC07A7" w:rsidP="00AA5CB6">
      <w:pPr>
        <w:spacing w:line="360" w:lineRule="auto"/>
        <w:ind w:left="-288"/>
        <w:rPr>
          <w:rFonts w:ascii="Georgia" w:hAnsi="Georgia"/>
          <w:sz w:val="20"/>
          <w:szCs w:val="20"/>
        </w:rPr>
      </w:pPr>
    </w:p>
    <w:p w14:paraId="5D1747DE" w14:textId="77777777" w:rsidR="00CC07A7" w:rsidRDefault="00CC07A7" w:rsidP="00AA5CB6">
      <w:pPr>
        <w:spacing w:line="360" w:lineRule="auto"/>
        <w:ind w:left="-288"/>
        <w:rPr>
          <w:rFonts w:ascii="Georgia" w:hAnsi="Georgia"/>
          <w:sz w:val="20"/>
          <w:szCs w:val="20"/>
        </w:rPr>
      </w:pPr>
    </w:p>
    <w:p w14:paraId="137C0CC8" w14:textId="77777777" w:rsidR="00CC07A7" w:rsidRDefault="00CC07A7" w:rsidP="00AA5CB6">
      <w:pPr>
        <w:spacing w:line="360" w:lineRule="auto"/>
        <w:ind w:left="-288"/>
        <w:rPr>
          <w:rFonts w:ascii="Georgia" w:hAnsi="Georgia"/>
          <w:sz w:val="20"/>
          <w:szCs w:val="20"/>
        </w:rPr>
      </w:pPr>
    </w:p>
    <w:p w14:paraId="27B74B5B" w14:textId="77777777" w:rsidR="00CC07A7" w:rsidRDefault="00CC07A7" w:rsidP="00AA5CB6">
      <w:pPr>
        <w:spacing w:line="360" w:lineRule="auto"/>
        <w:ind w:left="-288"/>
        <w:rPr>
          <w:rFonts w:ascii="Georgia" w:hAnsi="Georgia"/>
          <w:sz w:val="20"/>
          <w:szCs w:val="20"/>
        </w:rPr>
      </w:pPr>
    </w:p>
    <w:p w14:paraId="57BEA0E4" w14:textId="77777777" w:rsidR="00CC07A7" w:rsidRDefault="00CC07A7" w:rsidP="00AA5CB6">
      <w:pPr>
        <w:spacing w:line="360" w:lineRule="auto"/>
        <w:ind w:left="-288"/>
        <w:rPr>
          <w:rFonts w:ascii="Georgia" w:hAnsi="Georgia"/>
          <w:sz w:val="20"/>
          <w:szCs w:val="20"/>
        </w:rPr>
      </w:pPr>
    </w:p>
    <w:p w14:paraId="77AF9981" w14:textId="77777777" w:rsidR="00CC07A7" w:rsidRDefault="00CC07A7" w:rsidP="00AA5CB6">
      <w:pPr>
        <w:spacing w:line="360" w:lineRule="auto"/>
        <w:ind w:left="-288"/>
        <w:rPr>
          <w:rFonts w:ascii="Georgia" w:hAnsi="Georgia"/>
          <w:sz w:val="20"/>
          <w:szCs w:val="20"/>
        </w:rPr>
      </w:pPr>
    </w:p>
    <w:p w14:paraId="05014E35" w14:textId="77777777" w:rsidR="00CC07A7" w:rsidRDefault="00CC07A7" w:rsidP="00AA5CB6">
      <w:pPr>
        <w:spacing w:line="360" w:lineRule="auto"/>
        <w:ind w:left="-288"/>
        <w:rPr>
          <w:rFonts w:ascii="Georgia" w:hAnsi="Georgia"/>
          <w:sz w:val="20"/>
          <w:szCs w:val="20"/>
        </w:rPr>
      </w:pPr>
    </w:p>
    <w:p w14:paraId="181B4F6E" w14:textId="77777777" w:rsidR="00CC07A7" w:rsidRDefault="00CC07A7" w:rsidP="00AA5CB6">
      <w:pPr>
        <w:spacing w:line="360" w:lineRule="auto"/>
        <w:ind w:left="-288"/>
        <w:rPr>
          <w:rFonts w:ascii="Georgia" w:hAnsi="Georgia"/>
          <w:sz w:val="20"/>
          <w:szCs w:val="20"/>
        </w:rPr>
      </w:pPr>
    </w:p>
    <w:p w14:paraId="50702021" w14:textId="77777777" w:rsidR="00CC07A7" w:rsidRDefault="00CC07A7" w:rsidP="00AA5CB6">
      <w:pPr>
        <w:spacing w:line="360" w:lineRule="auto"/>
        <w:ind w:left="-288"/>
        <w:rPr>
          <w:rFonts w:ascii="Georgia" w:hAnsi="Georgia"/>
          <w:sz w:val="20"/>
          <w:szCs w:val="20"/>
        </w:rPr>
      </w:pPr>
    </w:p>
    <w:p w14:paraId="6312A556" w14:textId="77777777" w:rsidR="00CC07A7" w:rsidRDefault="00CC07A7" w:rsidP="00AA5CB6">
      <w:pPr>
        <w:spacing w:line="360" w:lineRule="auto"/>
        <w:ind w:left="-288"/>
        <w:rPr>
          <w:rFonts w:ascii="Georgia" w:hAnsi="Georgia"/>
          <w:sz w:val="20"/>
          <w:szCs w:val="20"/>
        </w:rPr>
      </w:pPr>
    </w:p>
    <w:p w14:paraId="6DDAEE13" w14:textId="77777777" w:rsidR="00CC07A7" w:rsidRDefault="00CC07A7" w:rsidP="00AA5CB6">
      <w:pPr>
        <w:spacing w:line="360" w:lineRule="auto"/>
        <w:ind w:left="-288"/>
        <w:rPr>
          <w:rFonts w:ascii="Georgia" w:hAnsi="Georgia"/>
          <w:sz w:val="20"/>
          <w:szCs w:val="20"/>
        </w:rPr>
      </w:pPr>
    </w:p>
    <w:p w14:paraId="3C8728DF" w14:textId="77777777" w:rsidR="00CC07A7" w:rsidRDefault="00CC07A7" w:rsidP="00AA5CB6">
      <w:pPr>
        <w:spacing w:line="360" w:lineRule="auto"/>
        <w:ind w:left="-288"/>
        <w:rPr>
          <w:rFonts w:ascii="Georgia" w:hAnsi="Georgia"/>
          <w:sz w:val="20"/>
          <w:szCs w:val="20"/>
        </w:rPr>
      </w:pPr>
    </w:p>
    <w:p w14:paraId="7C1479E6" w14:textId="77777777" w:rsidR="00CC07A7" w:rsidRDefault="00CC07A7" w:rsidP="00AA5CB6">
      <w:pPr>
        <w:spacing w:line="360" w:lineRule="auto"/>
        <w:ind w:left="-288"/>
        <w:rPr>
          <w:rFonts w:ascii="Georgia" w:hAnsi="Georgia"/>
          <w:sz w:val="20"/>
          <w:szCs w:val="20"/>
        </w:rPr>
      </w:pPr>
    </w:p>
    <w:p w14:paraId="558BB677" w14:textId="77777777" w:rsidR="00CC07A7" w:rsidRDefault="00CC07A7" w:rsidP="00AA5CB6">
      <w:pPr>
        <w:spacing w:line="360" w:lineRule="auto"/>
        <w:ind w:left="-288"/>
        <w:rPr>
          <w:rFonts w:ascii="Georgia" w:hAnsi="Georgia"/>
          <w:sz w:val="20"/>
          <w:szCs w:val="20"/>
        </w:rPr>
      </w:pPr>
    </w:p>
    <w:p w14:paraId="20F67268" w14:textId="77777777" w:rsidR="00CC07A7" w:rsidRDefault="00CC07A7" w:rsidP="00AA5CB6">
      <w:pPr>
        <w:spacing w:line="360" w:lineRule="auto"/>
        <w:ind w:left="-288"/>
        <w:rPr>
          <w:rFonts w:ascii="Georgia" w:hAnsi="Georgia"/>
          <w:sz w:val="20"/>
          <w:szCs w:val="20"/>
        </w:rPr>
      </w:pPr>
    </w:p>
    <w:p w14:paraId="0B5ADFF1" w14:textId="77777777" w:rsidR="00CC07A7" w:rsidRDefault="00CC07A7" w:rsidP="00AA5CB6">
      <w:pPr>
        <w:spacing w:line="360" w:lineRule="auto"/>
        <w:ind w:left="-288"/>
        <w:rPr>
          <w:rFonts w:ascii="Georgia" w:hAnsi="Georgia"/>
          <w:sz w:val="20"/>
          <w:szCs w:val="20"/>
        </w:rPr>
      </w:pPr>
    </w:p>
    <w:p w14:paraId="3101A6F4" w14:textId="51606427" w:rsidR="0010056A" w:rsidRPr="0010056A" w:rsidRDefault="008C0EC5" w:rsidP="0010056A">
      <w:pPr>
        <w:spacing w:line="360" w:lineRule="auto"/>
        <w:ind w:left="-288"/>
        <w:rPr>
          <w:rFonts w:ascii="Georgia" w:hAnsi="Georgia"/>
          <w:sz w:val="20"/>
          <w:szCs w:val="20"/>
        </w:rPr>
      </w:pPr>
      <w:r w:rsidRPr="008C0EC5">
        <w:rPr>
          <w:rFonts w:ascii="Georgia" w:hAnsi="Georgia"/>
          <w:b/>
          <w:bCs/>
          <w:color w:val="009CDE"/>
          <w:sz w:val="28"/>
          <w:szCs w:val="36"/>
        </w:rPr>
        <w:lastRenderedPageBreak/>
        <w:t>APPENDIX 5: D</w:t>
      </w:r>
      <w:r w:rsidR="00270FF8">
        <w:rPr>
          <w:rFonts w:ascii="Georgia" w:hAnsi="Georgia"/>
          <w:b/>
          <w:bCs/>
          <w:color w:val="009CDE"/>
          <w:sz w:val="28"/>
          <w:szCs w:val="36"/>
        </w:rPr>
        <w:t>efinitions</w:t>
      </w:r>
      <w:r w:rsidR="00AA5CB6">
        <w:rPr>
          <w:rFonts w:ascii="Georgia" w:hAnsi="Georgia"/>
          <w:b/>
          <w:bCs/>
          <w:color w:val="ED7D31" w:themeColor="accent2"/>
          <w:sz w:val="28"/>
          <w:szCs w:val="36"/>
        </w:rPr>
        <w:br/>
      </w:r>
      <w:r w:rsidR="0010056A" w:rsidRPr="0010056A">
        <w:rPr>
          <w:rFonts w:ascii="Georgia" w:hAnsi="Georgia"/>
          <w:sz w:val="20"/>
          <w:szCs w:val="20"/>
        </w:rPr>
        <w:t>Fiducient Advisors’ Frontier Engineer® portfolio optimization requires 10-year forecasts of the following metrics:</w:t>
      </w:r>
    </w:p>
    <w:p w14:paraId="276EBF13" w14:textId="6877C5F2" w:rsidR="0010056A" w:rsidRPr="0010056A" w:rsidRDefault="0010056A" w:rsidP="0010056A">
      <w:pPr>
        <w:spacing w:line="360" w:lineRule="auto"/>
        <w:ind w:left="-288"/>
        <w:rPr>
          <w:rFonts w:ascii="Georgia" w:hAnsi="Georgia"/>
          <w:sz w:val="20"/>
          <w:szCs w:val="20"/>
        </w:rPr>
      </w:pPr>
      <w:r w:rsidRPr="0010056A">
        <w:rPr>
          <w:rFonts w:ascii="Georgia" w:hAnsi="Georgia"/>
          <w:sz w:val="20"/>
          <w:szCs w:val="20"/>
        </w:rPr>
        <w:t>1.</w:t>
      </w:r>
      <w:r w:rsidRPr="0010056A">
        <w:rPr>
          <w:rFonts w:ascii="Georgia" w:hAnsi="Georgia"/>
          <w:sz w:val="20"/>
          <w:szCs w:val="20"/>
        </w:rPr>
        <w:tab/>
      </w:r>
      <w:r w:rsidRPr="00270FF8">
        <w:rPr>
          <w:rFonts w:ascii="Georgia" w:hAnsi="Georgia"/>
          <w:b/>
          <w:bCs/>
          <w:sz w:val="20"/>
          <w:szCs w:val="20"/>
        </w:rPr>
        <w:t>Expected Median Annual Return</w:t>
      </w:r>
      <w:r w:rsidR="00DE4AEA">
        <w:rPr>
          <w:rStyle w:val="FootnoteReference"/>
          <w:rFonts w:ascii="Georgia" w:hAnsi="Georgia"/>
          <w:sz w:val="20"/>
          <w:szCs w:val="20"/>
        </w:rPr>
        <w:footnoteReference w:id="13"/>
      </w:r>
      <w:r w:rsidRPr="0010056A">
        <w:rPr>
          <w:rFonts w:ascii="Georgia" w:hAnsi="Georgia"/>
          <w:sz w:val="20"/>
          <w:szCs w:val="20"/>
        </w:rPr>
        <w:t xml:space="preserve"> of each asset class</w:t>
      </w:r>
    </w:p>
    <w:p w14:paraId="5EA50CF9" w14:textId="32207BE0" w:rsidR="0010056A" w:rsidRPr="0010056A" w:rsidRDefault="0010056A" w:rsidP="0010056A">
      <w:pPr>
        <w:spacing w:line="360" w:lineRule="auto"/>
        <w:ind w:left="-288"/>
        <w:rPr>
          <w:rFonts w:ascii="Georgia" w:hAnsi="Georgia"/>
          <w:sz w:val="20"/>
          <w:szCs w:val="20"/>
        </w:rPr>
      </w:pPr>
      <w:r w:rsidRPr="0010056A">
        <w:rPr>
          <w:rFonts w:ascii="Georgia" w:hAnsi="Georgia"/>
          <w:sz w:val="20"/>
          <w:szCs w:val="20"/>
        </w:rPr>
        <w:t>2.</w:t>
      </w:r>
      <w:r w:rsidRPr="0010056A">
        <w:rPr>
          <w:rFonts w:ascii="Georgia" w:hAnsi="Georgia"/>
          <w:sz w:val="20"/>
          <w:szCs w:val="20"/>
        </w:rPr>
        <w:tab/>
      </w:r>
      <w:r w:rsidRPr="00270FF8">
        <w:rPr>
          <w:rFonts w:ascii="Georgia" w:hAnsi="Georgia"/>
          <w:b/>
          <w:bCs/>
          <w:sz w:val="20"/>
          <w:szCs w:val="20"/>
        </w:rPr>
        <w:t>Expected Annual Geometric Return</w:t>
      </w:r>
      <w:r w:rsidR="00BF04A9">
        <w:rPr>
          <w:rStyle w:val="FootnoteReference"/>
          <w:rFonts w:ascii="Georgia" w:hAnsi="Georgia"/>
          <w:sz w:val="20"/>
          <w:szCs w:val="20"/>
        </w:rPr>
        <w:footnoteReference w:id="14"/>
      </w:r>
      <w:r w:rsidRPr="0010056A">
        <w:rPr>
          <w:rFonts w:ascii="Georgia" w:hAnsi="Georgia"/>
          <w:sz w:val="20"/>
          <w:szCs w:val="20"/>
        </w:rPr>
        <w:t xml:space="preserve"> of each asset class </w:t>
      </w:r>
    </w:p>
    <w:p w14:paraId="7CEF9AD3" w14:textId="77777777" w:rsidR="0010056A" w:rsidRPr="0010056A" w:rsidRDefault="0010056A" w:rsidP="0010056A">
      <w:pPr>
        <w:spacing w:line="360" w:lineRule="auto"/>
        <w:ind w:left="-288"/>
        <w:rPr>
          <w:rFonts w:ascii="Georgia" w:hAnsi="Georgia"/>
          <w:sz w:val="20"/>
          <w:szCs w:val="20"/>
        </w:rPr>
      </w:pPr>
      <w:r w:rsidRPr="0010056A">
        <w:rPr>
          <w:rFonts w:ascii="Georgia" w:hAnsi="Georgia"/>
          <w:sz w:val="20"/>
          <w:szCs w:val="20"/>
        </w:rPr>
        <w:t>3.</w:t>
      </w:r>
      <w:r w:rsidRPr="0010056A">
        <w:rPr>
          <w:rFonts w:ascii="Georgia" w:hAnsi="Georgia"/>
          <w:sz w:val="20"/>
          <w:szCs w:val="20"/>
        </w:rPr>
        <w:tab/>
      </w:r>
      <w:r w:rsidRPr="00270FF8">
        <w:rPr>
          <w:rFonts w:ascii="Georgia" w:hAnsi="Georgia"/>
          <w:b/>
          <w:bCs/>
          <w:sz w:val="20"/>
          <w:szCs w:val="20"/>
        </w:rPr>
        <w:t>Expected Annual Standard Deviation</w:t>
      </w:r>
      <w:r w:rsidRPr="0010056A">
        <w:rPr>
          <w:rFonts w:ascii="Georgia" w:hAnsi="Georgia"/>
          <w:sz w:val="20"/>
          <w:szCs w:val="20"/>
        </w:rPr>
        <w:t xml:space="preserve"> of each asset class</w:t>
      </w:r>
    </w:p>
    <w:p w14:paraId="0F137FD9" w14:textId="77777777" w:rsidR="0010056A" w:rsidRPr="0010056A" w:rsidRDefault="0010056A" w:rsidP="0010056A">
      <w:pPr>
        <w:spacing w:line="360" w:lineRule="auto"/>
        <w:ind w:left="-288"/>
        <w:rPr>
          <w:rFonts w:ascii="Georgia" w:hAnsi="Georgia"/>
          <w:sz w:val="20"/>
          <w:szCs w:val="20"/>
        </w:rPr>
      </w:pPr>
      <w:r w:rsidRPr="0010056A">
        <w:rPr>
          <w:rFonts w:ascii="Georgia" w:hAnsi="Georgia"/>
          <w:sz w:val="20"/>
          <w:szCs w:val="20"/>
        </w:rPr>
        <w:t>4.</w:t>
      </w:r>
      <w:r w:rsidRPr="0010056A">
        <w:rPr>
          <w:rFonts w:ascii="Georgia" w:hAnsi="Georgia"/>
          <w:sz w:val="20"/>
          <w:szCs w:val="20"/>
        </w:rPr>
        <w:tab/>
      </w:r>
      <w:r w:rsidRPr="00270FF8">
        <w:rPr>
          <w:rFonts w:ascii="Georgia" w:hAnsi="Georgia"/>
          <w:b/>
          <w:bCs/>
          <w:sz w:val="20"/>
          <w:szCs w:val="20"/>
        </w:rPr>
        <w:t>Expected Correlation</w:t>
      </w:r>
      <w:r w:rsidRPr="0010056A">
        <w:rPr>
          <w:rFonts w:ascii="Georgia" w:hAnsi="Georgia"/>
          <w:sz w:val="20"/>
          <w:szCs w:val="20"/>
        </w:rPr>
        <w:t xml:space="preserve"> among all asset classes</w:t>
      </w:r>
    </w:p>
    <w:p w14:paraId="7A1C7096" w14:textId="77777777" w:rsidR="0010056A" w:rsidRPr="0010056A" w:rsidRDefault="0010056A" w:rsidP="0010056A">
      <w:pPr>
        <w:spacing w:line="360" w:lineRule="auto"/>
        <w:ind w:left="-288"/>
        <w:rPr>
          <w:rFonts w:ascii="Georgia" w:hAnsi="Georgia"/>
          <w:sz w:val="20"/>
          <w:szCs w:val="20"/>
        </w:rPr>
      </w:pPr>
      <w:r w:rsidRPr="0010056A">
        <w:rPr>
          <w:rFonts w:ascii="Georgia" w:hAnsi="Georgia"/>
          <w:sz w:val="20"/>
          <w:szCs w:val="20"/>
        </w:rPr>
        <w:t>5.</w:t>
      </w:r>
      <w:r w:rsidRPr="0010056A">
        <w:rPr>
          <w:rFonts w:ascii="Georgia" w:hAnsi="Georgia"/>
          <w:sz w:val="20"/>
          <w:szCs w:val="20"/>
        </w:rPr>
        <w:tab/>
      </w:r>
      <w:r w:rsidRPr="00270FF8">
        <w:rPr>
          <w:rFonts w:ascii="Georgia" w:hAnsi="Georgia"/>
          <w:b/>
          <w:bCs/>
          <w:sz w:val="20"/>
          <w:szCs w:val="20"/>
        </w:rPr>
        <w:t>Expected Skewness</w:t>
      </w:r>
      <w:r w:rsidRPr="0010056A">
        <w:rPr>
          <w:rFonts w:ascii="Georgia" w:hAnsi="Georgia"/>
          <w:sz w:val="20"/>
          <w:szCs w:val="20"/>
        </w:rPr>
        <w:t xml:space="preserve"> of each asset class (corrected for asymmetry)</w:t>
      </w:r>
    </w:p>
    <w:p w14:paraId="301812A5" w14:textId="77777777" w:rsidR="0010056A" w:rsidRPr="0010056A" w:rsidRDefault="0010056A" w:rsidP="0010056A">
      <w:pPr>
        <w:spacing w:line="360" w:lineRule="auto"/>
        <w:ind w:left="-288"/>
        <w:rPr>
          <w:rFonts w:ascii="Georgia" w:hAnsi="Georgia"/>
          <w:sz w:val="20"/>
          <w:szCs w:val="20"/>
        </w:rPr>
      </w:pPr>
      <w:r w:rsidRPr="0010056A">
        <w:rPr>
          <w:rFonts w:ascii="Georgia" w:hAnsi="Georgia"/>
          <w:sz w:val="20"/>
          <w:szCs w:val="20"/>
        </w:rPr>
        <w:t>6.</w:t>
      </w:r>
      <w:r w:rsidRPr="0010056A">
        <w:rPr>
          <w:rFonts w:ascii="Georgia" w:hAnsi="Georgia"/>
          <w:sz w:val="20"/>
          <w:szCs w:val="20"/>
        </w:rPr>
        <w:tab/>
      </w:r>
      <w:r w:rsidRPr="00270FF8">
        <w:rPr>
          <w:rFonts w:ascii="Georgia" w:hAnsi="Georgia"/>
          <w:b/>
          <w:bCs/>
          <w:sz w:val="20"/>
          <w:szCs w:val="20"/>
        </w:rPr>
        <w:t>Expected Excess Kurtosis</w:t>
      </w:r>
      <w:r w:rsidRPr="0010056A">
        <w:rPr>
          <w:rFonts w:ascii="Georgia" w:hAnsi="Georgia"/>
          <w:sz w:val="20"/>
          <w:szCs w:val="20"/>
        </w:rPr>
        <w:t xml:space="preserve"> of each asset class (corrected for tails)</w:t>
      </w:r>
    </w:p>
    <w:p w14:paraId="58F7167F" w14:textId="77777777" w:rsidR="00270FF8" w:rsidRDefault="00270FF8" w:rsidP="0010056A">
      <w:pPr>
        <w:spacing w:line="360" w:lineRule="auto"/>
        <w:ind w:left="-288"/>
        <w:rPr>
          <w:rFonts w:ascii="Georgia" w:hAnsi="Georgia"/>
          <w:sz w:val="20"/>
          <w:szCs w:val="20"/>
        </w:rPr>
      </w:pPr>
    </w:p>
    <w:p w14:paraId="26900A00" w14:textId="17C76EEC" w:rsidR="0010056A" w:rsidRPr="00270FF8" w:rsidRDefault="0010056A" w:rsidP="0010056A">
      <w:pPr>
        <w:spacing w:line="360" w:lineRule="auto"/>
        <w:ind w:left="-288"/>
        <w:rPr>
          <w:rFonts w:ascii="Georgia" w:hAnsi="Georgia"/>
          <w:b/>
          <w:bCs/>
          <w:sz w:val="20"/>
          <w:szCs w:val="20"/>
        </w:rPr>
      </w:pPr>
      <w:r w:rsidRPr="00270FF8">
        <w:rPr>
          <w:rFonts w:ascii="Georgia" w:hAnsi="Georgia"/>
          <w:b/>
          <w:bCs/>
          <w:sz w:val="20"/>
          <w:szCs w:val="20"/>
        </w:rPr>
        <w:t>Expected 10-Year Median Annual Return Forecast</w:t>
      </w:r>
    </w:p>
    <w:p w14:paraId="7EDC7577" w14:textId="77777777" w:rsidR="0010056A" w:rsidRDefault="0010056A" w:rsidP="0010056A">
      <w:pPr>
        <w:spacing w:line="360" w:lineRule="auto"/>
        <w:ind w:left="-288"/>
        <w:rPr>
          <w:rFonts w:ascii="Georgia" w:hAnsi="Georgia"/>
          <w:sz w:val="20"/>
          <w:szCs w:val="20"/>
        </w:rPr>
      </w:pPr>
      <w:r w:rsidRPr="0010056A">
        <w:rPr>
          <w:rFonts w:ascii="Georgia" w:hAnsi="Georgia"/>
          <w:sz w:val="20"/>
          <w:szCs w:val="20"/>
        </w:rPr>
        <w:t xml:space="preserve">Our annual median return forecast represents the expected midpoint of all possible future 10-year returns for an asset class.  These return forecasts (or expected returns) are highly unlikely to be precisely correct over the 10-year time horizon. We expect the actual 10-year return to have a 50% probability of being higher or lower than the forecast. </w:t>
      </w:r>
    </w:p>
    <w:p w14:paraId="721E8454" w14:textId="77777777" w:rsidR="00270FF8" w:rsidRPr="0010056A" w:rsidRDefault="00270FF8" w:rsidP="0010056A">
      <w:pPr>
        <w:spacing w:line="360" w:lineRule="auto"/>
        <w:ind w:left="-288"/>
        <w:rPr>
          <w:rFonts w:ascii="Georgia" w:hAnsi="Georgia"/>
          <w:sz w:val="20"/>
          <w:szCs w:val="20"/>
        </w:rPr>
      </w:pPr>
    </w:p>
    <w:p w14:paraId="6A9363C5" w14:textId="61E523BF" w:rsidR="0010056A" w:rsidRPr="00270FF8" w:rsidRDefault="0010056A" w:rsidP="0010056A">
      <w:pPr>
        <w:spacing w:line="360" w:lineRule="auto"/>
        <w:ind w:left="-288"/>
        <w:rPr>
          <w:rFonts w:ascii="Georgia" w:hAnsi="Georgia"/>
          <w:b/>
          <w:bCs/>
          <w:sz w:val="20"/>
          <w:szCs w:val="20"/>
        </w:rPr>
      </w:pPr>
      <w:r w:rsidRPr="00270FF8">
        <w:rPr>
          <w:rFonts w:ascii="Georgia" w:hAnsi="Georgia"/>
          <w:b/>
          <w:bCs/>
          <w:sz w:val="20"/>
          <w:szCs w:val="20"/>
        </w:rPr>
        <w:t>Expected 10-Year Geometric Annual Return</w:t>
      </w:r>
      <w:r w:rsidR="001728AD" w:rsidRPr="00270FF8">
        <w:rPr>
          <w:rStyle w:val="FootnoteReference"/>
          <w:rFonts w:ascii="Georgia" w:hAnsi="Georgia"/>
          <w:b/>
          <w:bCs/>
          <w:sz w:val="20"/>
          <w:szCs w:val="20"/>
        </w:rPr>
        <w:footnoteReference w:id="15"/>
      </w:r>
      <w:r w:rsidRPr="00270FF8">
        <w:rPr>
          <w:rFonts w:ascii="Georgia" w:hAnsi="Georgia"/>
          <w:b/>
          <w:bCs/>
          <w:sz w:val="20"/>
          <w:szCs w:val="20"/>
        </w:rPr>
        <w:t xml:space="preserve"> Forecast</w:t>
      </w:r>
    </w:p>
    <w:p w14:paraId="33675B0D" w14:textId="77777777" w:rsidR="0010056A" w:rsidRDefault="0010056A" w:rsidP="0010056A">
      <w:pPr>
        <w:spacing w:line="360" w:lineRule="auto"/>
        <w:ind w:left="-288"/>
        <w:rPr>
          <w:rFonts w:ascii="Georgia" w:hAnsi="Georgia"/>
          <w:sz w:val="20"/>
          <w:szCs w:val="20"/>
        </w:rPr>
      </w:pPr>
      <w:r w:rsidRPr="0010056A">
        <w:rPr>
          <w:rFonts w:ascii="Georgia" w:hAnsi="Georgia"/>
          <w:sz w:val="20"/>
          <w:szCs w:val="20"/>
        </w:rPr>
        <w:t xml:space="preserve">Our geometric return forecast represents the expected midpoint of all possible future 10-year outcomes for an asset class.  These geometric return forecast estimates (or expected returns) are highly unlikely to be precisely correct over the 10-year time horizon. We expect the actual 10-year return to have a 50% probability of being higher or lower than the forecast. </w:t>
      </w:r>
    </w:p>
    <w:p w14:paraId="525AC69F" w14:textId="77777777" w:rsidR="008359F2" w:rsidRPr="0010056A" w:rsidRDefault="008359F2" w:rsidP="0010056A">
      <w:pPr>
        <w:spacing w:line="360" w:lineRule="auto"/>
        <w:ind w:left="-288"/>
        <w:rPr>
          <w:rFonts w:ascii="Georgia" w:hAnsi="Georgia"/>
          <w:sz w:val="20"/>
          <w:szCs w:val="20"/>
        </w:rPr>
      </w:pPr>
    </w:p>
    <w:p w14:paraId="1F1CDD70" w14:textId="77777777" w:rsidR="0010056A" w:rsidRPr="008359F2" w:rsidRDefault="0010056A" w:rsidP="0010056A">
      <w:pPr>
        <w:spacing w:line="360" w:lineRule="auto"/>
        <w:ind w:left="-288"/>
        <w:rPr>
          <w:rFonts w:ascii="Georgia" w:hAnsi="Georgia"/>
          <w:b/>
          <w:bCs/>
          <w:sz w:val="20"/>
          <w:szCs w:val="20"/>
        </w:rPr>
      </w:pPr>
      <w:r w:rsidRPr="008359F2">
        <w:rPr>
          <w:rFonts w:ascii="Georgia" w:hAnsi="Georgia"/>
          <w:b/>
          <w:bCs/>
          <w:sz w:val="20"/>
          <w:szCs w:val="20"/>
        </w:rPr>
        <w:t>Expected 10-Year Annual Standard Deviation Forecast</w:t>
      </w:r>
    </w:p>
    <w:p w14:paraId="3167D1C1" w14:textId="77777777" w:rsidR="0010056A" w:rsidRPr="0010056A" w:rsidRDefault="0010056A" w:rsidP="0010056A">
      <w:pPr>
        <w:spacing w:line="360" w:lineRule="auto"/>
        <w:ind w:left="-288"/>
        <w:rPr>
          <w:rFonts w:ascii="Georgia" w:hAnsi="Georgia"/>
          <w:sz w:val="20"/>
          <w:szCs w:val="20"/>
        </w:rPr>
      </w:pPr>
      <w:r w:rsidRPr="0010056A">
        <w:rPr>
          <w:rFonts w:ascii="Georgia" w:hAnsi="Georgia"/>
          <w:sz w:val="20"/>
          <w:szCs w:val="20"/>
        </w:rPr>
        <w:t>Our 10-year standard deviation forecast represents the median expected (normally distributed) variability of annual returns about the mean. The higher the standard deviation, the more uncertain the outcome.</w:t>
      </w:r>
    </w:p>
    <w:p w14:paraId="5A03E7CB" w14:textId="77777777" w:rsidR="008359F2" w:rsidRDefault="008359F2" w:rsidP="0010056A">
      <w:pPr>
        <w:spacing w:line="360" w:lineRule="auto"/>
        <w:ind w:left="-288"/>
        <w:rPr>
          <w:rFonts w:ascii="Georgia" w:hAnsi="Georgia"/>
          <w:sz w:val="20"/>
          <w:szCs w:val="20"/>
        </w:rPr>
      </w:pPr>
    </w:p>
    <w:p w14:paraId="76E69833" w14:textId="3F9F36BE" w:rsidR="0010056A" w:rsidRPr="008359F2" w:rsidRDefault="0010056A" w:rsidP="0010056A">
      <w:pPr>
        <w:spacing w:line="360" w:lineRule="auto"/>
        <w:ind w:left="-288"/>
        <w:rPr>
          <w:rFonts w:ascii="Georgia" w:hAnsi="Georgia"/>
          <w:b/>
          <w:bCs/>
          <w:sz w:val="20"/>
          <w:szCs w:val="20"/>
        </w:rPr>
      </w:pPr>
      <w:r w:rsidRPr="008359F2">
        <w:rPr>
          <w:rFonts w:ascii="Georgia" w:hAnsi="Georgia"/>
          <w:b/>
          <w:bCs/>
          <w:sz w:val="20"/>
          <w:szCs w:val="20"/>
        </w:rPr>
        <w:t>Expected Correlation</w:t>
      </w:r>
    </w:p>
    <w:p w14:paraId="0769DA7C" w14:textId="77777777" w:rsidR="0010056A" w:rsidRPr="0010056A" w:rsidRDefault="0010056A" w:rsidP="0010056A">
      <w:pPr>
        <w:spacing w:line="360" w:lineRule="auto"/>
        <w:ind w:left="-288"/>
        <w:rPr>
          <w:rFonts w:ascii="Georgia" w:hAnsi="Georgia"/>
          <w:sz w:val="20"/>
          <w:szCs w:val="20"/>
        </w:rPr>
      </w:pPr>
      <w:r w:rsidRPr="0010056A">
        <w:rPr>
          <w:rFonts w:ascii="Georgia" w:hAnsi="Georgia"/>
          <w:sz w:val="20"/>
          <w:szCs w:val="20"/>
        </w:rPr>
        <w:t>Our 10-year forecast of asset class correlation coefficients quantifies the degree to which two assets are expected to move together. The correlation coefficient can range from -1 (perfect negative correlation) to +1 (perfect positive correlation).</w:t>
      </w:r>
    </w:p>
    <w:p w14:paraId="02EF8790" w14:textId="77777777" w:rsidR="0010056A" w:rsidRPr="0010056A" w:rsidRDefault="0010056A" w:rsidP="0010056A">
      <w:pPr>
        <w:spacing w:line="360" w:lineRule="auto"/>
        <w:ind w:left="-288"/>
        <w:rPr>
          <w:rFonts w:ascii="Georgia" w:hAnsi="Georgia"/>
          <w:sz w:val="20"/>
          <w:szCs w:val="20"/>
        </w:rPr>
      </w:pPr>
    </w:p>
    <w:p w14:paraId="3A3061D9" w14:textId="77777777" w:rsidR="0010056A" w:rsidRPr="008359F2" w:rsidRDefault="0010056A" w:rsidP="0010056A">
      <w:pPr>
        <w:spacing w:line="360" w:lineRule="auto"/>
        <w:ind w:left="-288"/>
        <w:rPr>
          <w:rFonts w:ascii="Georgia" w:hAnsi="Georgia"/>
          <w:b/>
          <w:bCs/>
          <w:sz w:val="20"/>
          <w:szCs w:val="20"/>
        </w:rPr>
      </w:pPr>
      <w:r w:rsidRPr="008359F2">
        <w:rPr>
          <w:rFonts w:ascii="Georgia" w:hAnsi="Georgia"/>
          <w:b/>
          <w:bCs/>
          <w:sz w:val="20"/>
          <w:szCs w:val="20"/>
        </w:rPr>
        <w:t>Expected Skewness</w:t>
      </w:r>
    </w:p>
    <w:p w14:paraId="6D26A70F" w14:textId="77777777" w:rsidR="0010056A" w:rsidRPr="0010056A" w:rsidRDefault="0010056A" w:rsidP="0010056A">
      <w:pPr>
        <w:spacing w:line="360" w:lineRule="auto"/>
        <w:ind w:left="-288"/>
        <w:rPr>
          <w:rFonts w:ascii="Georgia" w:hAnsi="Georgia"/>
          <w:sz w:val="20"/>
          <w:szCs w:val="20"/>
        </w:rPr>
      </w:pPr>
      <w:r w:rsidRPr="0010056A">
        <w:rPr>
          <w:rFonts w:ascii="Georgia" w:hAnsi="Georgia"/>
          <w:sz w:val="20"/>
          <w:szCs w:val="20"/>
        </w:rPr>
        <w:t>Our 10-year skewness forecast quantifies the degree of expected asymmetry of the return distribution. If the left tail is more pronounced than the right tail, the asset has negative skewness. If the reverse is true, it has positive skewness. If the two are equal, it has zero skewness (normally distributed).</w:t>
      </w:r>
    </w:p>
    <w:p w14:paraId="405608DF" w14:textId="77777777" w:rsidR="008359F2" w:rsidRDefault="008359F2" w:rsidP="0010056A">
      <w:pPr>
        <w:spacing w:line="360" w:lineRule="auto"/>
        <w:ind w:left="-288"/>
        <w:rPr>
          <w:rFonts w:ascii="Georgia" w:hAnsi="Georgia"/>
          <w:sz w:val="20"/>
          <w:szCs w:val="20"/>
        </w:rPr>
      </w:pPr>
    </w:p>
    <w:p w14:paraId="7EE3EA80" w14:textId="6527BBA1" w:rsidR="0010056A" w:rsidRPr="008359F2" w:rsidRDefault="0010056A" w:rsidP="0010056A">
      <w:pPr>
        <w:spacing w:line="360" w:lineRule="auto"/>
        <w:ind w:left="-288"/>
        <w:rPr>
          <w:rFonts w:ascii="Georgia" w:hAnsi="Georgia"/>
          <w:b/>
          <w:bCs/>
          <w:sz w:val="20"/>
          <w:szCs w:val="20"/>
        </w:rPr>
      </w:pPr>
      <w:r w:rsidRPr="008359F2">
        <w:rPr>
          <w:rFonts w:ascii="Georgia" w:hAnsi="Georgia"/>
          <w:b/>
          <w:bCs/>
          <w:sz w:val="20"/>
          <w:szCs w:val="20"/>
        </w:rPr>
        <w:t>Expected Excess Kurtosis</w:t>
      </w:r>
    </w:p>
    <w:p w14:paraId="169A170E" w14:textId="08A81AAD" w:rsidR="00AA5CB6" w:rsidRDefault="0010056A" w:rsidP="0010056A">
      <w:pPr>
        <w:spacing w:line="360" w:lineRule="auto"/>
        <w:ind w:left="-288"/>
        <w:rPr>
          <w:rFonts w:ascii="Georgia" w:hAnsi="Georgia"/>
          <w:sz w:val="20"/>
          <w:szCs w:val="20"/>
        </w:rPr>
      </w:pPr>
      <w:r w:rsidRPr="0010056A">
        <w:rPr>
          <w:rFonts w:ascii="Georgia" w:hAnsi="Georgia"/>
          <w:sz w:val="20"/>
          <w:szCs w:val="20"/>
        </w:rPr>
        <w:t xml:space="preserve">Our 10-year excess kurtosis forecast of each asset class quantifies the degree of expected </w:t>
      </w:r>
      <w:proofErr w:type="spellStart"/>
      <w:r w:rsidRPr="0010056A">
        <w:rPr>
          <w:rFonts w:ascii="Georgia" w:hAnsi="Georgia"/>
          <w:sz w:val="20"/>
          <w:szCs w:val="20"/>
        </w:rPr>
        <w:t>peakedness</w:t>
      </w:r>
      <w:proofErr w:type="spellEnd"/>
      <w:r w:rsidRPr="0010056A">
        <w:rPr>
          <w:rFonts w:ascii="Georgia" w:hAnsi="Georgia"/>
          <w:sz w:val="20"/>
          <w:szCs w:val="20"/>
        </w:rPr>
        <w:t xml:space="preserve"> (or flatness) of the return distribution. If excess kurtosis is positive, the distribution is more peaked (with extreme events). If excess kurtosis is negative, the distribution is flatter (with fewer extreme events).</w:t>
      </w:r>
    </w:p>
    <w:p w14:paraId="545F1ADF" w14:textId="77777777" w:rsidR="00EA656F" w:rsidRDefault="00EA656F" w:rsidP="0010056A">
      <w:pPr>
        <w:spacing w:line="360" w:lineRule="auto"/>
        <w:ind w:left="-288"/>
        <w:rPr>
          <w:rFonts w:ascii="Georgia" w:hAnsi="Georgia"/>
          <w:sz w:val="20"/>
          <w:szCs w:val="20"/>
        </w:rPr>
      </w:pPr>
    </w:p>
    <w:p w14:paraId="13307437" w14:textId="77777777" w:rsidR="00CC07A7" w:rsidRDefault="00CC07A7" w:rsidP="0010056A">
      <w:pPr>
        <w:spacing w:line="360" w:lineRule="auto"/>
        <w:ind w:left="-288"/>
        <w:rPr>
          <w:rFonts w:ascii="Georgia" w:hAnsi="Georgia"/>
          <w:sz w:val="20"/>
          <w:szCs w:val="20"/>
        </w:rPr>
      </w:pPr>
    </w:p>
    <w:p w14:paraId="1D9AD8E8" w14:textId="77777777" w:rsidR="00CC07A7" w:rsidRDefault="00CC07A7" w:rsidP="0010056A">
      <w:pPr>
        <w:spacing w:line="360" w:lineRule="auto"/>
        <w:ind w:left="-288"/>
        <w:rPr>
          <w:rFonts w:ascii="Georgia" w:hAnsi="Georgia"/>
          <w:sz w:val="20"/>
          <w:szCs w:val="20"/>
        </w:rPr>
      </w:pPr>
    </w:p>
    <w:p w14:paraId="40936656" w14:textId="77777777" w:rsidR="00CC07A7" w:rsidRDefault="00CC07A7" w:rsidP="0010056A">
      <w:pPr>
        <w:spacing w:line="360" w:lineRule="auto"/>
        <w:ind w:left="-288"/>
        <w:rPr>
          <w:rFonts w:ascii="Georgia" w:hAnsi="Georgia"/>
          <w:sz w:val="20"/>
          <w:szCs w:val="20"/>
        </w:rPr>
      </w:pPr>
    </w:p>
    <w:p w14:paraId="65A334BF" w14:textId="77777777" w:rsidR="00CC07A7" w:rsidRDefault="00CC07A7" w:rsidP="0010056A">
      <w:pPr>
        <w:spacing w:line="360" w:lineRule="auto"/>
        <w:ind w:left="-288"/>
        <w:rPr>
          <w:rFonts w:ascii="Georgia" w:hAnsi="Georgia"/>
          <w:sz w:val="20"/>
          <w:szCs w:val="20"/>
        </w:rPr>
      </w:pPr>
    </w:p>
    <w:p w14:paraId="3BAF1D2F" w14:textId="77777777" w:rsidR="00CC07A7" w:rsidRDefault="00CC07A7" w:rsidP="0010056A">
      <w:pPr>
        <w:spacing w:line="360" w:lineRule="auto"/>
        <w:ind w:left="-288"/>
        <w:rPr>
          <w:rFonts w:ascii="Georgia" w:hAnsi="Georgia"/>
          <w:sz w:val="20"/>
          <w:szCs w:val="20"/>
        </w:rPr>
      </w:pPr>
    </w:p>
    <w:p w14:paraId="2EFA26BB" w14:textId="77777777" w:rsidR="00CC07A7" w:rsidRDefault="00CC07A7" w:rsidP="0010056A">
      <w:pPr>
        <w:spacing w:line="360" w:lineRule="auto"/>
        <w:ind w:left="-288"/>
        <w:rPr>
          <w:rFonts w:ascii="Georgia" w:hAnsi="Georgia"/>
          <w:sz w:val="20"/>
          <w:szCs w:val="20"/>
        </w:rPr>
      </w:pPr>
    </w:p>
    <w:p w14:paraId="7231F204" w14:textId="77777777" w:rsidR="00CC07A7" w:rsidRDefault="00CC07A7" w:rsidP="0010056A">
      <w:pPr>
        <w:spacing w:line="360" w:lineRule="auto"/>
        <w:ind w:left="-288"/>
        <w:rPr>
          <w:rFonts w:ascii="Georgia" w:hAnsi="Georgia"/>
          <w:sz w:val="20"/>
          <w:szCs w:val="20"/>
        </w:rPr>
      </w:pPr>
    </w:p>
    <w:p w14:paraId="094EE58F" w14:textId="77777777" w:rsidR="00CC07A7" w:rsidRDefault="00CC07A7" w:rsidP="0010056A">
      <w:pPr>
        <w:spacing w:line="360" w:lineRule="auto"/>
        <w:ind w:left="-288"/>
        <w:rPr>
          <w:rFonts w:ascii="Georgia" w:hAnsi="Georgia"/>
          <w:sz w:val="20"/>
          <w:szCs w:val="20"/>
        </w:rPr>
      </w:pPr>
    </w:p>
    <w:p w14:paraId="72014A89" w14:textId="77777777" w:rsidR="00CC07A7" w:rsidRDefault="00CC07A7" w:rsidP="0010056A">
      <w:pPr>
        <w:spacing w:line="360" w:lineRule="auto"/>
        <w:ind w:left="-288"/>
        <w:rPr>
          <w:rFonts w:ascii="Georgia" w:hAnsi="Georgia"/>
          <w:sz w:val="20"/>
          <w:szCs w:val="20"/>
        </w:rPr>
      </w:pPr>
    </w:p>
    <w:p w14:paraId="1898AA93" w14:textId="77777777" w:rsidR="00CC07A7" w:rsidRDefault="00CC07A7" w:rsidP="0010056A">
      <w:pPr>
        <w:spacing w:line="360" w:lineRule="auto"/>
        <w:ind w:left="-288"/>
        <w:rPr>
          <w:rFonts w:ascii="Georgia" w:hAnsi="Georgia"/>
          <w:sz w:val="20"/>
          <w:szCs w:val="20"/>
        </w:rPr>
      </w:pPr>
    </w:p>
    <w:p w14:paraId="7E4281CE" w14:textId="77777777" w:rsidR="00CC07A7" w:rsidRDefault="00CC07A7" w:rsidP="0010056A">
      <w:pPr>
        <w:spacing w:line="360" w:lineRule="auto"/>
        <w:ind w:left="-288"/>
        <w:rPr>
          <w:rFonts w:ascii="Georgia" w:hAnsi="Georgia"/>
          <w:sz w:val="20"/>
          <w:szCs w:val="20"/>
        </w:rPr>
      </w:pPr>
    </w:p>
    <w:p w14:paraId="784774E5" w14:textId="77777777" w:rsidR="00CC07A7" w:rsidRDefault="00CC07A7" w:rsidP="0010056A">
      <w:pPr>
        <w:spacing w:line="360" w:lineRule="auto"/>
        <w:ind w:left="-288"/>
        <w:rPr>
          <w:rFonts w:ascii="Georgia" w:hAnsi="Georgia"/>
          <w:sz w:val="20"/>
          <w:szCs w:val="20"/>
        </w:rPr>
      </w:pPr>
    </w:p>
    <w:p w14:paraId="3E191520" w14:textId="77777777" w:rsidR="00CC07A7" w:rsidRDefault="00CC07A7" w:rsidP="0010056A">
      <w:pPr>
        <w:spacing w:line="360" w:lineRule="auto"/>
        <w:ind w:left="-288"/>
        <w:rPr>
          <w:rFonts w:ascii="Georgia" w:hAnsi="Georgia"/>
          <w:sz w:val="20"/>
          <w:szCs w:val="20"/>
        </w:rPr>
      </w:pPr>
    </w:p>
    <w:p w14:paraId="006332F7" w14:textId="77777777" w:rsidR="00CC07A7" w:rsidRDefault="00CC07A7" w:rsidP="0010056A">
      <w:pPr>
        <w:spacing w:line="360" w:lineRule="auto"/>
        <w:ind w:left="-288"/>
        <w:rPr>
          <w:rFonts w:ascii="Georgia" w:hAnsi="Georgia"/>
          <w:sz w:val="20"/>
          <w:szCs w:val="20"/>
        </w:rPr>
      </w:pPr>
    </w:p>
    <w:p w14:paraId="374546F8" w14:textId="77777777" w:rsidR="00CC07A7" w:rsidRDefault="00CC07A7" w:rsidP="0010056A">
      <w:pPr>
        <w:spacing w:line="360" w:lineRule="auto"/>
        <w:ind w:left="-288"/>
        <w:rPr>
          <w:rFonts w:ascii="Georgia" w:hAnsi="Georgia"/>
          <w:sz w:val="20"/>
          <w:szCs w:val="20"/>
        </w:rPr>
      </w:pPr>
    </w:p>
    <w:p w14:paraId="2AC347D0" w14:textId="77777777" w:rsidR="00CC07A7" w:rsidRDefault="00CC07A7" w:rsidP="0010056A">
      <w:pPr>
        <w:spacing w:line="360" w:lineRule="auto"/>
        <w:ind w:left="-288"/>
        <w:rPr>
          <w:rFonts w:ascii="Georgia" w:hAnsi="Georgia"/>
          <w:sz w:val="20"/>
          <w:szCs w:val="20"/>
        </w:rPr>
      </w:pPr>
    </w:p>
    <w:p w14:paraId="35EA06E4" w14:textId="77777777" w:rsidR="00CC07A7" w:rsidRDefault="00CC07A7" w:rsidP="0010056A">
      <w:pPr>
        <w:spacing w:line="360" w:lineRule="auto"/>
        <w:ind w:left="-288"/>
        <w:rPr>
          <w:rFonts w:ascii="Georgia" w:hAnsi="Georgia"/>
          <w:sz w:val="20"/>
          <w:szCs w:val="20"/>
        </w:rPr>
      </w:pPr>
    </w:p>
    <w:p w14:paraId="09227144" w14:textId="77777777" w:rsidR="00CC07A7" w:rsidRDefault="00CC07A7" w:rsidP="0010056A">
      <w:pPr>
        <w:spacing w:line="360" w:lineRule="auto"/>
        <w:ind w:left="-288"/>
        <w:rPr>
          <w:rFonts w:ascii="Georgia" w:hAnsi="Georgia"/>
          <w:sz w:val="20"/>
          <w:szCs w:val="20"/>
        </w:rPr>
      </w:pPr>
    </w:p>
    <w:p w14:paraId="3FABCF48" w14:textId="77777777" w:rsidR="00CC07A7" w:rsidRDefault="00CC07A7" w:rsidP="0010056A">
      <w:pPr>
        <w:spacing w:line="360" w:lineRule="auto"/>
        <w:ind w:left="-288"/>
        <w:rPr>
          <w:rFonts w:ascii="Georgia" w:hAnsi="Georgia"/>
          <w:sz w:val="20"/>
          <w:szCs w:val="20"/>
        </w:rPr>
      </w:pPr>
    </w:p>
    <w:p w14:paraId="3AF60ED8" w14:textId="77777777" w:rsidR="00CC07A7" w:rsidRDefault="00CC07A7" w:rsidP="0010056A">
      <w:pPr>
        <w:spacing w:line="360" w:lineRule="auto"/>
        <w:ind w:left="-288"/>
        <w:rPr>
          <w:rFonts w:ascii="Georgia" w:hAnsi="Georgia"/>
          <w:sz w:val="20"/>
          <w:szCs w:val="20"/>
        </w:rPr>
      </w:pPr>
    </w:p>
    <w:p w14:paraId="16CFF933" w14:textId="77777777" w:rsidR="00CC07A7" w:rsidRDefault="00CC07A7" w:rsidP="0010056A">
      <w:pPr>
        <w:spacing w:line="360" w:lineRule="auto"/>
        <w:ind w:left="-288"/>
        <w:rPr>
          <w:rFonts w:ascii="Georgia" w:hAnsi="Georgia"/>
          <w:sz w:val="20"/>
          <w:szCs w:val="20"/>
        </w:rPr>
      </w:pPr>
    </w:p>
    <w:p w14:paraId="359A0341" w14:textId="77777777" w:rsidR="00CC07A7" w:rsidRDefault="00CC07A7" w:rsidP="0010056A">
      <w:pPr>
        <w:spacing w:line="360" w:lineRule="auto"/>
        <w:ind w:left="-288"/>
        <w:rPr>
          <w:rFonts w:ascii="Georgia" w:hAnsi="Georgia"/>
          <w:sz w:val="20"/>
          <w:szCs w:val="20"/>
        </w:rPr>
      </w:pPr>
    </w:p>
    <w:p w14:paraId="53A6EC66" w14:textId="77777777" w:rsidR="00CC07A7" w:rsidRDefault="00CC07A7" w:rsidP="0010056A">
      <w:pPr>
        <w:spacing w:line="360" w:lineRule="auto"/>
        <w:ind w:left="-288"/>
        <w:rPr>
          <w:rFonts w:ascii="Georgia" w:hAnsi="Georgia"/>
          <w:sz w:val="20"/>
          <w:szCs w:val="20"/>
        </w:rPr>
      </w:pPr>
    </w:p>
    <w:p w14:paraId="208DBF8E" w14:textId="77777777" w:rsidR="00CC07A7" w:rsidRDefault="00CC07A7" w:rsidP="0010056A">
      <w:pPr>
        <w:spacing w:line="360" w:lineRule="auto"/>
        <w:ind w:left="-288"/>
        <w:rPr>
          <w:rFonts w:ascii="Georgia" w:hAnsi="Georgia"/>
          <w:sz w:val="20"/>
          <w:szCs w:val="20"/>
        </w:rPr>
      </w:pPr>
    </w:p>
    <w:p w14:paraId="396D0CAC" w14:textId="77777777" w:rsidR="00CC07A7" w:rsidRDefault="00CC07A7" w:rsidP="0010056A">
      <w:pPr>
        <w:spacing w:line="360" w:lineRule="auto"/>
        <w:ind w:left="-288"/>
        <w:rPr>
          <w:rFonts w:ascii="Georgia" w:hAnsi="Georgia"/>
          <w:sz w:val="20"/>
          <w:szCs w:val="20"/>
        </w:rPr>
      </w:pPr>
    </w:p>
    <w:p w14:paraId="407E4C46" w14:textId="77777777" w:rsidR="00CC07A7" w:rsidRDefault="00CC07A7" w:rsidP="0010056A">
      <w:pPr>
        <w:spacing w:line="360" w:lineRule="auto"/>
        <w:ind w:left="-288"/>
        <w:rPr>
          <w:rFonts w:ascii="Georgia" w:hAnsi="Georgia"/>
          <w:sz w:val="20"/>
          <w:szCs w:val="20"/>
        </w:rPr>
      </w:pPr>
    </w:p>
    <w:p w14:paraId="7D06C3A7" w14:textId="77777777" w:rsidR="00CC07A7" w:rsidRDefault="00CC07A7" w:rsidP="0010056A">
      <w:pPr>
        <w:spacing w:line="360" w:lineRule="auto"/>
        <w:ind w:left="-288"/>
        <w:rPr>
          <w:rFonts w:ascii="Georgia" w:hAnsi="Georgia"/>
          <w:sz w:val="20"/>
          <w:szCs w:val="20"/>
        </w:rPr>
      </w:pPr>
    </w:p>
    <w:p w14:paraId="3F76A4CC" w14:textId="77777777" w:rsidR="00CC07A7" w:rsidRDefault="00CC07A7" w:rsidP="0010056A">
      <w:pPr>
        <w:spacing w:line="360" w:lineRule="auto"/>
        <w:ind w:left="-288"/>
        <w:rPr>
          <w:rFonts w:ascii="Georgia" w:hAnsi="Georgia"/>
          <w:sz w:val="20"/>
          <w:szCs w:val="20"/>
        </w:rPr>
      </w:pPr>
    </w:p>
    <w:p w14:paraId="32CC022F" w14:textId="77777777" w:rsidR="00CC07A7" w:rsidRDefault="00CC07A7" w:rsidP="0010056A">
      <w:pPr>
        <w:spacing w:line="360" w:lineRule="auto"/>
        <w:ind w:left="-288"/>
        <w:rPr>
          <w:rFonts w:ascii="Georgia" w:hAnsi="Georgia"/>
          <w:sz w:val="20"/>
          <w:szCs w:val="20"/>
        </w:rPr>
      </w:pPr>
    </w:p>
    <w:p w14:paraId="61093E46" w14:textId="77777777" w:rsidR="00CC07A7" w:rsidRDefault="00CC07A7" w:rsidP="0010056A">
      <w:pPr>
        <w:spacing w:line="360" w:lineRule="auto"/>
        <w:ind w:left="-288"/>
        <w:rPr>
          <w:rFonts w:ascii="Georgia" w:hAnsi="Georgia"/>
          <w:sz w:val="20"/>
          <w:szCs w:val="20"/>
        </w:rPr>
      </w:pPr>
    </w:p>
    <w:p w14:paraId="33D8D44F" w14:textId="77777777" w:rsidR="00CC07A7" w:rsidRDefault="00CC07A7" w:rsidP="0010056A">
      <w:pPr>
        <w:spacing w:line="360" w:lineRule="auto"/>
        <w:ind w:left="-288"/>
        <w:rPr>
          <w:rFonts w:ascii="Georgia" w:hAnsi="Georgia"/>
          <w:sz w:val="20"/>
          <w:szCs w:val="20"/>
        </w:rPr>
      </w:pPr>
    </w:p>
    <w:p w14:paraId="12C54644" w14:textId="77777777" w:rsidR="00CC07A7" w:rsidRDefault="00CC07A7" w:rsidP="0010056A">
      <w:pPr>
        <w:spacing w:line="360" w:lineRule="auto"/>
        <w:ind w:left="-288"/>
        <w:rPr>
          <w:rFonts w:ascii="Georgia" w:hAnsi="Georgia"/>
          <w:sz w:val="20"/>
          <w:szCs w:val="20"/>
        </w:rPr>
      </w:pPr>
    </w:p>
    <w:p w14:paraId="394FD491" w14:textId="4DDFF450" w:rsidR="00EA656F" w:rsidRDefault="00EA656F" w:rsidP="00EA656F">
      <w:pPr>
        <w:spacing w:line="360" w:lineRule="auto"/>
        <w:ind w:left="-288"/>
        <w:rPr>
          <w:rFonts w:ascii="Georgia" w:hAnsi="Georgia"/>
          <w:b/>
          <w:bCs/>
          <w:color w:val="009CDE"/>
          <w:sz w:val="28"/>
          <w:szCs w:val="36"/>
        </w:rPr>
      </w:pPr>
      <w:r>
        <w:rPr>
          <w:rFonts w:ascii="Georgia" w:hAnsi="Georgia"/>
          <w:b/>
          <w:bCs/>
          <w:color w:val="009CDE"/>
          <w:sz w:val="28"/>
          <w:szCs w:val="36"/>
        </w:rPr>
        <w:lastRenderedPageBreak/>
        <w:t xml:space="preserve">APPENDIX 6: </w:t>
      </w:r>
      <w:r w:rsidR="00DA43C8">
        <w:rPr>
          <w:rFonts w:ascii="Georgia" w:hAnsi="Georgia"/>
          <w:b/>
          <w:bCs/>
          <w:color w:val="009CDE"/>
          <w:sz w:val="28"/>
          <w:szCs w:val="36"/>
        </w:rPr>
        <w:t>Forecasting Methods</w:t>
      </w:r>
    </w:p>
    <w:p w14:paraId="72CD1E63" w14:textId="77777777" w:rsidR="00492C15" w:rsidRPr="00492C15" w:rsidRDefault="00492C15" w:rsidP="00492C15">
      <w:pPr>
        <w:spacing w:line="360" w:lineRule="auto"/>
        <w:ind w:left="-288"/>
        <w:rPr>
          <w:rFonts w:ascii="Georgia" w:hAnsi="Georgia"/>
          <w:sz w:val="20"/>
          <w:szCs w:val="20"/>
        </w:rPr>
      </w:pPr>
      <w:r w:rsidRPr="00DA43C8">
        <w:rPr>
          <w:rFonts w:ascii="Georgia" w:hAnsi="Georgia"/>
          <w:sz w:val="20"/>
          <w:szCs w:val="20"/>
          <w:u w:val="single"/>
        </w:rPr>
        <w:t>RETURNS</w:t>
      </w:r>
      <w:r w:rsidRPr="00492C15">
        <w:rPr>
          <w:rFonts w:ascii="Georgia" w:hAnsi="Georgia"/>
          <w:sz w:val="20"/>
          <w:szCs w:val="20"/>
        </w:rPr>
        <w:t>:</w:t>
      </w:r>
    </w:p>
    <w:p w14:paraId="4213BD98"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10-year asset class return forecasts are developed using various methodologies including:</w:t>
      </w:r>
    </w:p>
    <w:p w14:paraId="0A5D43EB"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1.</w:t>
      </w:r>
      <w:r w:rsidRPr="00492C15">
        <w:rPr>
          <w:rFonts w:ascii="Georgia" w:hAnsi="Georgia"/>
          <w:sz w:val="20"/>
          <w:szCs w:val="20"/>
        </w:rPr>
        <w:tab/>
        <w:t>Risk Premium Method</w:t>
      </w:r>
    </w:p>
    <w:p w14:paraId="37033DBA"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2.</w:t>
      </w:r>
      <w:r w:rsidRPr="00492C15">
        <w:rPr>
          <w:rFonts w:ascii="Georgia" w:hAnsi="Georgia"/>
          <w:sz w:val="20"/>
          <w:szCs w:val="20"/>
        </w:rPr>
        <w:tab/>
        <w:t>Equity Returns Decomposition Method</w:t>
      </w:r>
    </w:p>
    <w:p w14:paraId="1263DA9F"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3.</w:t>
      </w:r>
      <w:r w:rsidRPr="00492C15">
        <w:rPr>
          <w:rFonts w:ascii="Georgia" w:hAnsi="Georgia"/>
          <w:sz w:val="20"/>
          <w:szCs w:val="20"/>
        </w:rPr>
        <w:tab/>
        <w:t>Cyclically-Adjusted Earnings Yield (Modified CAPE) Method</w:t>
      </w:r>
    </w:p>
    <w:p w14:paraId="1BC6B545"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4.</w:t>
      </w:r>
      <w:r w:rsidRPr="00492C15">
        <w:rPr>
          <w:rFonts w:ascii="Georgia" w:hAnsi="Georgia"/>
          <w:sz w:val="20"/>
          <w:szCs w:val="20"/>
        </w:rPr>
        <w:tab/>
        <w:t>Black-</w:t>
      </w:r>
      <w:proofErr w:type="spellStart"/>
      <w:r w:rsidRPr="00492C15">
        <w:rPr>
          <w:rFonts w:ascii="Georgia" w:hAnsi="Georgia"/>
          <w:sz w:val="20"/>
          <w:szCs w:val="20"/>
        </w:rPr>
        <w:t>Litterman</w:t>
      </w:r>
      <w:proofErr w:type="spellEnd"/>
      <w:r w:rsidRPr="00492C15">
        <w:rPr>
          <w:rFonts w:ascii="Georgia" w:hAnsi="Georgia"/>
          <w:sz w:val="20"/>
          <w:szCs w:val="20"/>
        </w:rPr>
        <w:t xml:space="preserve"> Method</w:t>
      </w:r>
    </w:p>
    <w:p w14:paraId="3124D1B0"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5.</w:t>
      </w:r>
      <w:r w:rsidRPr="00492C15">
        <w:rPr>
          <w:rFonts w:ascii="Georgia" w:hAnsi="Georgia"/>
          <w:sz w:val="20"/>
          <w:szCs w:val="20"/>
        </w:rPr>
        <w:tab/>
        <w:t>Fixed Income Returns Decomposition Method</w:t>
      </w:r>
    </w:p>
    <w:p w14:paraId="6C8D1A90"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6.</w:t>
      </w:r>
      <w:r w:rsidRPr="00492C15">
        <w:rPr>
          <w:rFonts w:ascii="Georgia" w:hAnsi="Georgia"/>
          <w:sz w:val="20"/>
          <w:szCs w:val="20"/>
        </w:rPr>
        <w:tab/>
        <w:t>High Yield Default-Loss Method</w:t>
      </w:r>
    </w:p>
    <w:p w14:paraId="7C40E70B"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7.</w:t>
      </w:r>
      <w:r w:rsidRPr="00492C15">
        <w:rPr>
          <w:rFonts w:ascii="Georgia" w:hAnsi="Georgia"/>
          <w:sz w:val="20"/>
          <w:szCs w:val="20"/>
        </w:rPr>
        <w:tab/>
        <w:t>Commodity Futures Returns Decomposition Method</w:t>
      </w:r>
    </w:p>
    <w:p w14:paraId="60EC7E04"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8.</w:t>
      </w:r>
      <w:r w:rsidRPr="00492C15">
        <w:rPr>
          <w:rFonts w:ascii="Georgia" w:hAnsi="Georgia"/>
          <w:sz w:val="20"/>
          <w:szCs w:val="20"/>
        </w:rPr>
        <w:tab/>
        <w:t>Corrections for extreme asset class over/under valuation (or other disequilibrium in capital market assumptions)</w:t>
      </w:r>
    </w:p>
    <w:p w14:paraId="6BAB4461" w14:textId="77777777" w:rsidR="00492C15" w:rsidRPr="00492C15" w:rsidRDefault="00492C15" w:rsidP="00492C15">
      <w:pPr>
        <w:spacing w:line="360" w:lineRule="auto"/>
        <w:ind w:left="-288"/>
        <w:rPr>
          <w:rFonts w:ascii="Georgia" w:hAnsi="Georgia"/>
          <w:sz w:val="20"/>
          <w:szCs w:val="20"/>
        </w:rPr>
      </w:pPr>
    </w:p>
    <w:p w14:paraId="246B30C8"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1.</w:t>
      </w:r>
      <w:r w:rsidRPr="00492C15">
        <w:rPr>
          <w:rFonts w:ascii="Georgia" w:hAnsi="Georgia"/>
          <w:sz w:val="20"/>
          <w:szCs w:val="20"/>
        </w:rPr>
        <w:tab/>
        <w:t xml:space="preserve">The </w:t>
      </w:r>
      <w:r w:rsidRPr="00DA43C8">
        <w:rPr>
          <w:rFonts w:ascii="Georgia" w:hAnsi="Georgia"/>
          <w:sz w:val="20"/>
          <w:szCs w:val="20"/>
          <w:u w:val="single"/>
        </w:rPr>
        <w:t>Risk Premium Method</w:t>
      </w:r>
      <w:r w:rsidRPr="00492C15">
        <w:rPr>
          <w:rFonts w:ascii="Georgia" w:hAnsi="Georgia"/>
          <w:sz w:val="20"/>
          <w:szCs w:val="20"/>
        </w:rPr>
        <w:t xml:space="preserve"> adds a risk premium to a referenced asset’s return forecast.</w:t>
      </w:r>
    </w:p>
    <w:p w14:paraId="3F3B1FBB" w14:textId="77777777" w:rsidR="00492C15" w:rsidRPr="00DA43C8" w:rsidRDefault="00492C15" w:rsidP="00492C15">
      <w:pPr>
        <w:spacing w:line="360" w:lineRule="auto"/>
        <w:ind w:left="-288"/>
        <w:rPr>
          <w:rFonts w:ascii="Georgia" w:hAnsi="Georgia"/>
          <w:b/>
          <w:bCs/>
          <w:sz w:val="20"/>
          <w:szCs w:val="20"/>
        </w:rPr>
      </w:pPr>
      <w:r w:rsidRPr="00DA43C8">
        <w:rPr>
          <w:rFonts w:ascii="Georgia" w:hAnsi="Georgia"/>
          <w:b/>
          <w:bCs/>
          <w:sz w:val="20"/>
          <w:szCs w:val="20"/>
        </w:rPr>
        <w:t xml:space="preserve">Return = (RA) +/- (RP)   </w:t>
      </w:r>
      <w:r w:rsidRPr="00DA43C8">
        <w:rPr>
          <w:rFonts w:ascii="Georgia" w:hAnsi="Georgia"/>
          <w:b/>
          <w:bCs/>
          <w:sz w:val="20"/>
          <w:szCs w:val="20"/>
        </w:rPr>
        <w:tab/>
      </w:r>
    </w:p>
    <w:p w14:paraId="5A3D0FD1"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w:t>
      </w:r>
      <w:r w:rsidRPr="00492C15">
        <w:rPr>
          <w:rFonts w:ascii="Georgia" w:hAnsi="Georgia"/>
          <w:sz w:val="20"/>
          <w:szCs w:val="20"/>
        </w:rPr>
        <w:tab/>
        <w:t>RA = Forecasted Return of “Reference Asset”</w:t>
      </w:r>
    </w:p>
    <w:p w14:paraId="73949851"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w:t>
      </w:r>
      <w:r w:rsidRPr="00492C15">
        <w:rPr>
          <w:rFonts w:ascii="Georgia" w:hAnsi="Georgia"/>
          <w:sz w:val="20"/>
          <w:szCs w:val="20"/>
        </w:rPr>
        <w:tab/>
        <w:t>RP = Appropriate “Risk Premium” added to the Referenced Asset’s forecast</w:t>
      </w:r>
    </w:p>
    <w:p w14:paraId="26A46200" w14:textId="77777777" w:rsidR="00492C15" w:rsidRPr="00492C15" w:rsidRDefault="00492C15" w:rsidP="00492C15">
      <w:pPr>
        <w:spacing w:line="360" w:lineRule="auto"/>
        <w:ind w:left="-288"/>
        <w:rPr>
          <w:rFonts w:ascii="Georgia" w:hAnsi="Georgia"/>
          <w:sz w:val="20"/>
          <w:szCs w:val="20"/>
        </w:rPr>
      </w:pPr>
    </w:p>
    <w:p w14:paraId="0B50562C"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2.</w:t>
      </w:r>
      <w:r w:rsidRPr="00492C15">
        <w:rPr>
          <w:rFonts w:ascii="Georgia" w:hAnsi="Georgia"/>
          <w:sz w:val="20"/>
          <w:szCs w:val="20"/>
        </w:rPr>
        <w:tab/>
        <w:t xml:space="preserve">The </w:t>
      </w:r>
      <w:r w:rsidRPr="00DA43C8">
        <w:rPr>
          <w:rFonts w:ascii="Georgia" w:hAnsi="Georgia"/>
          <w:sz w:val="20"/>
          <w:szCs w:val="20"/>
          <w:u w:val="single"/>
        </w:rPr>
        <w:t>Equity Returns Decomposition Method</w:t>
      </w:r>
      <w:r w:rsidRPr="00492C15">
        <w:rPr>
          <w:rFonts w:ascii="Georgia" w:hAnsi="Georgia"/>
          <w:sz w:val="20"/>
          <w:szCs w:val="20"/>
        </w:rPr>
        <w:t xml:space="preserve"> breaks out the components of equity returns.</w:t>
      </w:r>
    </w:p>
    <w:p w14:paraId="240683FE" w14:textId="77777777" w:rsidR="00492C15" w:rsidRPr="00DA43C8" w:rsidRDefault="00492C15" w:rsidP="00492C15">
      <w:pPr>
        <w:spacing w:line="360" w:lineRule="auto"/>
        <w:ind w:left="-288"/>
        <w:rPr>
          <w:rFonts w:ascii="Georgia" w:hAnsi="Georgia"/>
          <w:b/>
          <w:bCs/>
          <w:sz w:val="20"/>
          <w:szCs w:val="20"/>
        </w:rPr>
      </w:pPr>
      <w:r w:rsidRPr="00DA43C8">
        <w:rPr>
          <w:rFonts w:ascii="Georgia" w:hAnsi="Georgia"/>
          <w:b/>
          <w:bCs/>
          <w:sz w:val="20"/>
          <w:szCs w:val="20"/>
        </w:rPr>
        <w:t>Return = [(1 + DIV) * (1 + P/E) * (1 + REG) * (1 + CPI)] - 1</w:t>
      </w:r>
    </w:p>
    <w:p w14:paraId="29026EFB"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w:t>
      </w:r>
      <w:r w:rsidRPr="00492C15">
        <w:rPr>
          <w:rFonts w:ascii="Georgia" w:hAnsi="Georgia"/>
          <w:sz w:val="20"/>
          <w:szCs w:val="20"/>
        </w:rPr>
        <w:tab/>
        <w:t>DIV = Dividend Yield</w:t>
      </w:r>
    </w:p>
    <w:p w14:paraId="5D686681"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w:t>
      </w:r>
      <w:r w:rsidRPr="00492C15">
        <w:rPr>
          <w:rFonts w:ascii="Georgia" w:hAnsi="Georgia"/>
          <w:sz w:val="20"/>
          <w:szCs w:val="20"/>
        </w:rPr>
        <w:tab/>
        <w:t>P/E = P/E Expansion/Contraction</w:t>
      </w:r>
    </w:p>
    <w:p w14:paraId="09313C1B"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w:t>
      </w:r>
      <w:r w:rsidRPr="00492C15">
        <w:rPr>
          <w:rFonts w:ascii="Georgia" w:hAnsi="Georgia"/>
          <w:sz w:val="20"/>
          <w:szCs w:val="20"/>
        </w:rPr>
        <w:tab/>
        <w:t>REG = Real Earnings Growth = [Return on Equity] * [Earnings Retention Ratio]</w:t>
      </w:r>
    </w:p>
    <w:p w14:paraId="40DB9819"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w:t>
      </w:r>
      <w:r w:rsidRPr="00492C15">
        <w:rPr>
          <w:rFonts w:ascii="Georgia" w:hAnsi="Georgia"/>
          <w:sz w:val="20"/>
          <w:szCs w:val="20"/>
        </w:rPr>
        <w:tab/>
        <w:t>CPI = Inflation (Consumer Price Index)</w:t>
      </w:r>
    </w:p>
    <w:p w14:paraId="29EB4D7D" w14:textId="77777777" w:rsidR="00DA43C8" w:rsidRDefault="00DA43C8" w:rsidP="00492C15">
      <w:pPr>
        <w:spacing w:line="360" w:lineRule="auto"/>
        <w:ind w:left="-288"/>
        <w:rPr>
          <w:rFonts w:ascii="Georgia" w:hAnsi="Georgia"/>
          <w:sz w:val="20"/>
          <w:szCs w:val="20"/>
        </w:rPr>
      </w:pPr>
    </w:p>
    <w:p w14:paraId="4366CB14" w14:textId="23AC7403"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 xml:space="preserve">The following is the </w:t>
      </w:r>
      <w:r w:rsidRPr="00E45A2B">
        <w:rPr>
          <w:rFonts w:ascii="Georgia" w:hAnsi="Georgia"/>
          <w:sz w:val="20"/>
          <w:szCs w:val="20"/>
          <w:u w:val="single"/>
        </w:rPr>
        <w:t>Modified Equity Returns Decomposition Method</w:t>
      </w:r>
      <w:r w:rsidRPr="00492C15">
        <w:rPr>
          <w:rFonts w:ascii="Georgia" w:hAnsi="Georgia"/>
          <w:sz w:val="20"/>
          <w:szCs w:val="20"/>
        </w:rPr>
        <w:t xml:space="preserve"> for REITs and MLPs:</w:t>
      </w:r>
    </w:p>
    <w:p w14:paraId="5989897E" w14:textId="77777777" w:rsidR="00492C15" w:rsidRPr="00DA43C8" w:rsidRDefault="00492C15" w:rsidP="00492C15">
      <w:pPr>
        <w:spacing w:line="360" w:lineRule="auto"/>
        <w:ind w:left="-288"/>
        <w:rPr>
          <w:rFonts w:ascii="Georgia" w:hAnsi="Georgia"/>
          <w:b/>
          <w:bCs/>
          <w:sz w:val="20"/>
          <w:szCs w:val="20"/>
        </w:rPr>
      </w:pPr>
      <w:r w:rsidRPr="00DA43C8">
        <w:rPr>
          <w:rFonts w:ascii="Georgia" w:hAnsi="Georgia"/>
          <w:b/>
          <w:bCs/>
          <w:sz w:val="20"/>
          <w:szCs w:val="20"/>
        </w:rPr>
        <w:t xml:space="preserve">Return = [(DY) +/- (RPR) +/- (YLD C) +/- (CPI)] </w:t>
      </w:r>
    </w:p>
    <w:p w14:paraId="0C6C8EB4"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w:t>
      </w:r>
      <w:r w:rsidRPr="00492C15">
        <w:rPr>
          <w:rFonts w:ascii="Georgia" w:hAnsi="Georgia"/>
          <w:sz w:val="20"/>
          <w:szCs w:val="20"/>
        </w:rPr>
        <w:tab/>
        <w:t>DY = Dividend/Distribution Yield</w:t>
      </w:r>
    </w:p>
    <w:p w14:paraId="3BAB4065"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w:t>
      </w:r>
      <w:r w:rsidRPr="00492C15">
        <w:rPr>
          <w:rFonts w:ascii="Georgia" w:hAnsi="Georgia"/>
          <w:sz w:val="20"/>
          <w:szCs w:val="20"/>
        </w:rPr>
        <w:tab/>
        <w:t>RPR = Real price return excluding yield compression</w:t>
      </w:r>
    </w:p>
    <w:p w14:paraId="33D23497"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w:t>
      </w:r>
      <w:r w:rsidRPr="00492C15">
        <w:rPr>
          <w:rFonts w:ascii="Georgia" w:hAnsi="Georgia"/>
          <w:sz w:val="20"/>
          <w:szCs w:val="20"/>
        </w:rPr>
        <w:tab/>
        <w:t>YLD C = Price return resulting from yield compression</w:t>
      </w:r>
    </w:p>
    <w:p w14:paraId="22384CCA"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w:t>
      </w:r>
      <w:r w:rsidRPr="00492C15">
        <w:rPr>
          <w:rFonts w:ascii="Georgia" w:hAnsi="Georgia"/>
          <w:sz w:val="20"/>
          <w:szCs w:val="20"/>
        </w:rPr>
        <w:tab/>
        <w:t>CPI = Inflation (Consumer Price Index)</w:t>
      </w:r>
    </w:p>
    <w:p w14:paraId="64E6A33E" w14:textId="77777777" w:rsidR="00492C15" w:rsidRPr="00492C15" w:rsidRDefault="00492C15" w:rsidP="00492C15">
      <w:pPr>
        <w:spacing w:line="360" w:lineRule="auto"/>
        <w:ind w:left="-288"/>
        <w:rPr>
          <w:rFonts w:ascii="Georgia" w:hAnsi="Georgia"/>
          <w:sz w:val="20"/>
          <w:szCs w:val="20"/>
        </w:rPr>
      </w:pPr>
    </w:p>
    <w:p w14:paraId="7F1174C2"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3.</w:t>
      </w:r>
      <w:r w:rsidRPr="00492C15">
        <w:rPr>
          <w:rFonts w:ascii="Georgia" w:hAnsi="Georgia"/>
          <w:sz w:val="20"/>
          <w:szCs w:val="20"/>
        </w:rPr>
        <w:tab/>
        <w:t xml:space="preserve">The </w:t>
      </w:r>
      <w:r w:rsidRPr="00DA43C8">
        <w:rPr>
          <w:rFonts w:ascii="Georgia" w:hAnsi="Georgia"/>
          <w:sz w:val="20"/>
          <w:szCs w:val="20"/>
          <w:u w:val="single"/>
        </w:rPr>
        <w:t>Cyclically-Adjusted Earnings Yield Method</w:t>
      </w:r>
      <w:r w:rsidRPr="00492C15">
        <w:rPr>
          <w:rFonts w:ascii="Georgia" w:hAnsi="Georgia"/>
          <w:sz w:val="20"/>
          <w:szCs w:val="20"/>
        </w:rPr>
        <w:t xml:space="preserve"> incorporates a smoothing technique to earnings by dividing the average real earnings by the current (real) Index price. The result is a cyclically-adjusted real earnings yield of an individual equity asset class, to which forward-looking inflation expectations are applied to garner an unbiased nominal expected return.</w:t>
      </w:r>
    </w:p>
    <w:p w14:paraId="5BB9449D" w14:textId="77777777" w:rsidR="00492C15" w:rsidRPr="00E45A2B" w:rsidRDefault="00492C15" w:rsidP="00492C15">
      <w:pPr>
        <w:spacing w:line="360" w:lineRule="auto"/>
        <w:ind w:left="-288"/>
        <w:rPr>
          <w:rFonts w:ascii="Georgia" w:hAnsi="Georgia"/>
          <w:b/>
          <w:bCs/>
          <w:sz w:val="20"/>
          <w:szCs w:val="20"/>
        </w:rPr>
      </w:pPr>
      <w:r w:rsidRPr="00E45A2B">
        <w:rPr>
          <w:rFonts w:ascii="Georgia" w:hAnsi="Georgia"/>
          <w:b/>
          <w:bCs/>
          <w:sz w:val="20"/>
          <w:szCs w:val="20"/>
        </w:rPr>
        <w:t>Return = {[1 + (EARNINGS/PRICE)] * (1 + CPI)} – 1</w:t>
      </w:r>
    </w:p>
    <w:p w14:paraId="6D8A2AE7"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lastRenderedPageBreak/>
        <w:t>•</w:t>
      </w:r>
      <w:r w:rsidRPr="00492C15">
        <w:rPr>
          <w:rFonts w:ascii="Georgia" w:hAnsi="Georgia"/>
          <w:sz w:val="20"/>
          <w:szCs w:val="20"/>
        </w:rPr>
        <w:tab/>
        <w:t>EARNINGS = 10-year average real earnings of Index</w:t>
      </w:r>
    </w:p>
    <w:p w14:paraId="689CC106"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w:t>
      </w:r>
      <w:r w:rsidRPr="00492C15">
        <w:rPr>
          <w:rFonts w:ascii="Georgia" w:hAnsi="Georgia"/>
          <w:sz w:val="20"/>
          <w:szCs w:val="20"/>
        </w:rPr>
        <w:tab/>
        <w:t>PRICE = Current real price of Index</w:t>
      </w:r>
    </w:p>
    <w:p w14:paraId="60A5EC9A"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w:t>
      </w:r>
      <w:r w:rsidRPr="00492C15">
        <w:rPr>
          <w:rFonts w:ascii="Georgia" w:hAnsi="Georgia"/>
          <w:sz w:val="20"/>
          <w:szCs w:val="20"/>
        </w:rPr>
        <w:tab/>
        <w:t>CPI = Inflation (Consumer Price Index)</w:t>
      </w:r>
    </w:p>
    <w:p w14:paraId="5872BF96" w14:textId="77777777" w:rsidR="00492C15" w:rsidRPr="00492C15" w:rsidRDefault="00492C15" w:rsidP="00492C15">
      <w:pPr>
        <w:spacing w:line="360" w:lineRule="auto"/>
        <w:ind w:left="-288"/>
        <w:rPr>
          <w:rFonts w:ascii="Georgia" w:hAnsi="Georgia"/>
          <w:sz w:val="20"/>
          <w:szCs w:val="20"/>
        </w:rPr>
      </w:pPr>
    </w:p>
    <w:p w14:paraId="452CD00F"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4.</w:t>
      </w:r>
      <w:r w:rsidRPr="00492C15">
        <w:rPr>
          <w:rFonts w:ascii="Georgia" w:hAnsi="Georgia"/>
          <w:sz w:val="20"/>
          <w:szCs w:val="20"/>
        </w:rPr>
        <w:tab/>
        <w:t xml:space="preserve">The </w:t>
      </w:r>
      <w:r w:rsidRPr="00E45A2B">
        <w:rPr>
          <w:rFonts w:ascii="Georgia" w:hAnsi="Georgia"/>
          <w:sz w:val="20"/>
          <w:szCs w:val="20"/>
          <w:u w:val="single"/>
        </w:rPr>
        <w:t>Black-</w:t>
      </w:r>
      <w:proofErr w:type="spellStart"/>
      <w:r w:rsidRPr="00E45A2B">
        <w:rPr>
          <w:rFonts w:ascii="Georgia" w:hAnsi="Georgia"/>
          <w:sz w:val="20"/>
          <w:szCs w:val="20"/>
          <w:u w:val="single"/>
        </w:rPr>
        <w:t>Litterman</w:t>
      </w:r>
      <w:proofErr w:type="spellEnd"/>
      <w:r w:rsidRPr="00E45A2B">
        <w:rPr>
          <w:rFonts w:ascii="Georgia" w:hAnsi="Georgia"/>
          <w:sz w:val="20"/>
          <w:szCs w:val="20"/>
          <w:u w:val="single"/>
        </w:rPr>
        <w:t xml:space="preserve"> Method</w:t>
      </w:r>
      <w:r w:rsidRPr="00492C15">
        <w:rPr>
          <w:rFonts w:ascii="Georgia" w:hAnsi="Georgia"/>
          <w:sz w:val="20"/>
          <w:szCs w:val="20"/>
        </w:rPr>
        <w:t xml:space="preserve"> uses reverse mean-variance optimization to arrive at unbiased asset class return forecasts by inputting correlation, volatility and market capitalization weights, then solving for (equilibrium) expected returns (or risk premiums).</w:t>
      </w:r>
    </w:p>
    <w:p w14:paraId="63369EDF"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w:t>
      </w:r>
      <w:r w:rsidRPr="00492C15">
        <w:rPr>
          <w:rFonts w:ascii="Georgia" w:hAnsi="Georgia"/>
          <w:sz w:val="20"/>
          <w:szCs w:val="20"/>
        </w:rPr>
        <w:tab/>
        <w:t>Market capitalization weights for each asset</w:t>
      </w:r>
    </w:p>
    <w:p w14:paraId="4179BF88"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w:t>
      </w:r>
      <w:r w:rsidRPr="00492C15">
        <w:rPr>
          <w:rFonts w:ascii="Georgia" w:hAnsi="Georgia"/>
          <w:sz w:val="20"/>
          <w:szCs w:val="20"/>
        </w:rPr>
        <w:tab/>
        <w:t>Correlation between the assets</w:t>
      </w:r>
    </w:p>
    <w:p w14:paraId="76B59B2C"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w:t>
      </w:r>
      <w:r w:rsidRPr="00492C15">
        <w:rPr>
          <w:rFonts w:ascii="Georgia" w:hAnsi="Georgia"/>
          <w:sz w:val="20"/>
          <w:szCs w:val="20"/>
        </w:rPr>
        <w:tab/>
        <w:t xml:space="preserve">Volatility (or standard deviation) of assets </w:t>
      </w:r>
    </w:p>
    <w:p w14:paraId="300ECDDD"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w:t>
      </w:r>
      <w:r w:rsidRPr="00492C15">
        <w:rPr>
          <w:rFonts w:ascii="Georgia" w:hAnsi="Georgia"/>
          <w:sz w:val="20"/>
          <w:szCs w:val="20"/>
        </w:rPr>
        <w:tab/>
        <w:t>Risk free rate</w:t>
      </w:r>
    </w:p>
    <w:p w14:paraId="42FC59E6"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w:t>
      </w:r>
      <w:r w:rsidRPr="00492C15">
        <w:rPr>
          <w:rFonts w:ascii="Georgia" w:hAnsi="Georgia"/>
          <w:sz w:val="20"/>
          <w:szCs w:val="20"/>
        </w:rPr>
        <w:tab/>
        <w:t>The risk aversion coefficient of the reference market portfolio</w:t>
      </w:r>
    </w:p>
    <w:p w14:paraId="66119263" w14:textId="77777777" w:rsidR="00492C15" w:rsidRPr="00492C15" w:rsidRDefault="00492C15" w:rsidP="00492C15">
      <w:pPr>
        <w:spacing w:line="360" w:lineRule="auto"/>
        <w:ind w:left="-288"/>
        <w:rPr>
          <w:rFonts w:ascii="Georgia" w:hAnsi="Georgia"/>
          <w:sz w:val="20"/>
          <w:szCs w:val="20"/>
        </w:rPr>
      </w:pPr>
    </w:p>
    <w:p w14:paraId="4B29C4E5"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5.</w:t>
      </w:r>
      <w:r w:rsidRPr="00492C15">
        <w:rPr>
          <w:rFonts w:ascii="Georgia" w:hAnsi="Georgia"/>
          <w:sz w:val="20"/>
          <w:szCs w:val="20"/>
        </w:rPr>
        <w:tab/>
        <w:t xml:space="preserve">The </w:t>
      </w:r>
      <w:r w:rsidRPr="00E45A2B">
        <w:rPr>
          <w:rFonts w:ascii="Georgia" w:hAnsi="Georgia"/>
          <w:sz w:val="20"/>
          <w:szCs w:val="20"/>
          <w:u w:val="single"/>
        </w:rPr>
        <w:t>Fixed Income Returns Decomposition Method</w:t>
      </w:r>
      <w:r w:rsidRPr="00492C15">
        <w:rPr>
          <w:rFonts w:ascii="Georgia" w:hAnsi="Georgia"/>
          <w:sz w:val="20"/>
          <w:szCs w:val="20"/>
        </w:rPr>
        <w:t xml:space="preserve"> forecasts the components of fixed income Index returns  (Yield ∆ and Price ∆) and combines them for a total return forecast.</w:t>
      </w:r>
    </w:p>
    <w:p w14:paraId="1C73525F" w14:textId="77777777" w:rsidR="00492C15" w:rsidRPr="00E45A2B" w:rsidRDefault="00492C15" w:rsidP="00492C15">
      <w:pPr>
        <w:spacing w:line="360" w:lineRule="auto"/>
        <w:ind w:left="-288"/>
        <w:rPr>
          <w:rFonts w:ascii="Georgia" w:hAnsi="Georgia"/>
          <w:b/>
          <w:bCs/>
          <w:sz w:val="20"/>
          <w:szCs w:val="20"/>
        </w:rPr>
      </w:pPr>
      <w:r w:rsidRPr="00E45A2B">
        <w:rPr>
          <w:rFonts w:ascii="Georgia" w:hAnsi="Georgia"/>
          <w:b/>
          <w:bCs/>
          <w:sz w:val="20"/>
          <w:szCs w:val="20"/>
        </w:rPr>
        <w:t>Returns = (YLD) +/- (CUR) +/- (PE) +/- (CRED)</w:t>
      </w:r>
    </w:p>
    <w:p w14:paraId="0F2BBD70"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w:t>
      </w:r>
      <w:r w:rsidRPr="00492C15">
        <w:rPr>
          <w:rFonts w:ascii="Georgia" w:hAnsi="Georgia"/>
          <w:sz w:val="20"/>
          <w:szCs w:val="20"/>
        </w:rPr>
        <w:tab/>
        <w:t>YLD = Bond Index YTM</w:t>
      </w:r>
    </w:p>
    <w:p w14:paraId="1C0F2AA3"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w:t>
      </w:r>
      <w:r w:rsidRPr="00492C15">
        <w:rPr>
          <w:rFonts w:ascii="Georgia" w:hAnsi="Georgia"/>
          <w:sz w:val="20"/>
          <w:szCs w:val="20"/>
        </w:rPr>
        <w:tab/>
        <w:t>CUR = Expected currency effect derived from interest rate parity</w:t>
      </w:r>
    </w:p>
    <w:p w14:paraId="0CE3647E"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w:t>
      </w:r>
      <w:r w:rsidRPr="00492C15">
        <w:rPr>
          <w:rFonts w:ascii="Georgia" w:hAnsi="Georgia"/>
          <w:sz w:val="20"/>
          <w:szCs w:val="20"/>
        </w:rPr>
        <w:tab/>
        <w:t>PE = Bond Index “Price Effect”</w:t>
      </w:r>
    </w:p>
    <w:p w14:paraId="0A92EEDF"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w:t>
      </w:r>
      <w:r w:rsidRPr="00492C15">
        <w:rPr>
          <w:rFonts w:ascii="Georgia" w:hAnsi="Georgia"/>
          <w:sz w:val="20"/>
          <w:szCs w:val="20"/>
        </w:rPr>
        <w:tab/>
        <w:t>CRED = Credit spread premium</w:t>
      </w:r>
    </w:p>
    <w:p w14:paraId="41E2A439" w14:textId="77777777" w:rsidR="00492C15" w:rsidRPr="00492C15" w:rsidRDefault="00492C15" w:rsidP="00492C15">
      <w:pPr>
        <w:spacing w:line="360" w:lineRule="auto"/>
        <w:ind w:left="-288"/>
        <w:rPr>
          <w:rFonts w:ascii="Georgia" w:hAnsi="Georgia"/>
          <w:sz w:val="20"/>
          <w:szCs w:val="20"/>
        </w:rPr>
      </w:pPr>
    </w:p>
    <w:p w14:paraId="2EC2F5ED"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6.</w:t>
      </w:r>
      <w:r w:rsidRPr="00492C15">
        <w:rPr>
          <w:rFonts w:ascii="Georgia" w:hAnsi="Georgia"/>
          <w:sz w:val="20"/>
          <w:szCs w:val="20"/>
        </w:rPr>
        <w:tab/>
        <w:t xml:space="preserve">The </w:t>
      </w:r>
      <w:r w:rsidRPr="00E45A2B">
        <w:rPr>
          <w:rFonts w:ascii="Georgia" w:hAnsi="Georgia"/>
          <w:sz w:val="20"/>
          <w:szCs w:val="20"/>
          <w:u w:val="single"/>
        </w:rPr>
        <w:t>High Yield Default-Loss Method</w:t>
      </w:r>
      <w:r w:rsidRPr="00492C15">
        <w:rPr>
          <w:rFonts w:ascii="Georgia" w:hAnsi="Georgia"/>
          <w:sz w:val="20"/>
          <w:szCs w:val="20"/>
        </w:rPr>
        <w:t xml:space="preserve"> forecasts fixed income returns by regressing default rates, recovery rates and credit spreads to generate an expected loss rate, then combines the Index yield to solve for a total return forecast.</w:t>
      </w:r>
    </w:p>
    <w:p w14:paraId="08614910"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w:t>
      </w:r>
      <w:r w:rsidRPr="00492C15">
        <w:rPr>
          <w:rFonts w:ascii="Georgia" w:hAnsi="Georgia"/>
          <w:sz w:val="20"/>
          <w:szCs w:val="20"/>
        </w:rPr>
        <w:tab/>
        <w:t>Bond Index Yield</w:t>
      </w:r>
    </w:p>
    <w:p w14:paraId="173C94A0"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w:t>
      </w:r>
      <w:r w:rsidRPr="00492C15">
        <w:rPr>
          <w:rFonts w:ascii="Georgia" w:hAnsi="Georgia"/>
          <w:sz w:val="20"/>
          <w:szCs w:val="20"/>
        </w:rPr>
        <w:tab/>
        <w:t>U.S. Treasury Yield</w:t>
      </w:r>
    </w:p>
    <w:p w14:paraId="0A1E7F3E"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w:t>
      </w:r>
      <w:r w:rsidRPr="00492C15">
        <w:rPr>
          <w:rFonts w:ascii="Georgia" w:hAnsi="Georgia"/>
          <w:sz w:val="20"/>
          <w:szCs w:val="20"/>
        </w:rPr>
        <w:tab/>
        <w:t>Historical Default Rates</w:t>
      </w:r>
    </w:p>
    <w:p w14:paraId="4F041B14"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w:t>
      </w:r>
      <w:r w:rsidRPr="00492C15">
        <w:rPr>
          <w:rFonts w:ascii="Georgia" w:hAnsi="Georgia"/>
          <w:sz w:val="20"/>
          <w:szCs w:val="20"/>
        </w:rPr>
        <w:tab/>
        <w:t>Historical Recovery Rates</w:t>
      </w:r>
    </w:p>
    <w:p w14:paraId="6B8FB8E3" w14:textId="77777777" w:rsidR="00492C15" w:rsidRPr="00492C15" w:rsidRDefault="00492C15" w:rsidP="00492C15">
      <w:pPr>
        <w:spacing w:line="360" w:lineRule="auto"/>
        <w:ind w:left="-288"/>
        <w:rPr>
          <w:rFonts w:ascii="Georgia" w:hAnsi="Georgia"/>
          <w:sz w:val="20"/>
          <w:szCs w:val="20"/>
        </w:rPr>
      </w:pPr>
    </w:p>
    <w:p w14:paraId="03B4C884"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7.</w:t>
      </w:r>
      <w:r w:rsidRPr="00492C15">
        <w:rPr>
          <w:rFonts w:ascii="Georgia" w:hAnsi="Georgia"/>
          <w:sz w:val="20"/>
          <w:szCs w:val="20"/>
        </w:rPr>
        <w:tab/>
        <w:t xml:space="preserve">The </w:t>
      </w:r>
      <w:r w:rsidRPr="00E45A2B">
        <w:rPr>
          <w:rFonts w:ascii="Georgia" w:hAnsi="Georgia"/>
          <w:sz w:val="20"/>
          <w:szCs w:val="20"/>
          <w:u w:val="single"/>
        </w:rPr>
        <w:t>Commodity Futures Index Returns Decomposition Method</w:t>
      </w:r>
      <w:r w:rsidRPr="00492C15">
        <w:rPr>
          <w:rFonts w:ascii="Georgia" w:hAnsi="Georgia"/>
          <w:sz w:val="20"/>
          <w:szCs w:val="20"/>
        </w:rPr>
        <w:t xml:space="preserve"> forecasts and aggregates the components of a commodity futures Index’s total return.</w:t>
      </w:r>
    </w:p>
    <w:p w14:paraId="497D20BB" w14:textId="77777777" w:rsidR="00492C15" w:rsidRPr="00E45A2B" w:rsidRDefault="00492C15" w:rsidP="00492C15">
      <w:pPr>
        <w:spacing w:line="360" w:lineRule="auto"/>
        <w:ind w:left="-288"/>
        <w:rPr>
          <w:rFonts w:ascii="Georgia" w:hAnsi="Georgia"/>
          <w:b/>
          <w:bCs/>
          <w:sz w:val="20"/>
          <w:szCs w:val="20"/>
        </w:rPr>
      </w:pPr>
      <w:r w:rsidRPr="00E45A2B">
        <w:rPr>
          <w:rFonts w:ascii="Georgia" w:hAnsi="Georgia"/>
          <w:b/>
          <w:bCs/>
          <w:sz w:val="20"/>
          <w:szCs w:val="20"/>
        </w:rPr>
        <w:t>Returns = (SPOT) +/- (ROLL) +/- (COLLATERAL)</w:t>
      </w:r>
    </w:p>
    <w:p w14:paraId="605D8949"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w:t>
      </w:r>
      <w:r w:rsidRPr="00492C15">
        <w:rPr>
          <w:rFonts w:ascii="Georgia" w:hAnsi="Georgia"/>
          <w:sz w:val="20"/>
          <w:szCs w:val="20"/>
        </w:rPr>
        <w:tab/>
        <w:t>SPOT = Spot price return, which is assumed to keep pace with inflation as measured by CPI forecast</w:t>
      </w:r>
    </w:p>
    <w:p w14:paraId="7F68B02C"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w:t>
      </w:r>
      <w:r w:rsidRPr="00492C15">
        <w:rPr>
          <w:rFonts w:ascii="Georgia" w:hAnsi="Georgia"/>
          <w:sz w:val="20"/>
          <w:szCs w:val="20"/>
        </w:rPr>
        <w:tab/>
        <w:t>ROLL = Roll return expected to be earned from holding a futures contract to (near) maturity</w:t>
      </w:r>
    </w:p>
    <w:p w14:paraId="6E3B9572"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w:t>
      </w:r>
      <w:r w:rsidRPr="00492C15">
        <w:rPr>
          <w:rFonts w:ascii="Georgia" w:hAnsi="Georgia"/>
          <w:sz w:val="20"/>
          <w:szCs w:val="20"/>
        </w:rPr>
        <w:tab/>
        <w:t>COLLATERAL = Collateral return, which is earned by the return of the asset used to collateralize futures/swaps (i.e., T-Bills)</w:t>
      </w:r>
    </w:p>
    <w:p w14:paraId="1431257D" w14:textId="77777777" w:rsidR="00E45A2B" w:rsidRDefault="00E45A2B" w:rsidP="00492C15">
      <w:pPr>
        <w:spacing w:line="360" w:lineRule="auto"/>
        <w:ind w:left="-288"/>
        <w:rPr>
          <w:rFonts w:ascii="Georgia" w:hAnsi="Georgia"/>
          <w:sz w:val="20"/>
          <w:szCs w:val="20"/>
        </w:rPr>
      </w:pPr>
    </w:p>
    <w:p w14:paraId="7EE13437" w14:textId="7408E474" w:rsidR="00492C15" w:rsidRPr="00492C15" w:rsidRDefault="00492C15" w:rsidP="00492C15">
      <w:pPr>
        <w:spacing w:line="360" w:lineRule="auto"/>
        <w:ind w:left="-288"/>
        <w:rPr>
          <w:rFonts w:ascii="Georgia" w:hAnsi="Georgia"/>
          <w:sz w:val="20"/>
          <w:szCs w:val="20"/>
        </w:rPr>
      </w:pPr>
      <w:r w:rsidRPr="00E45A2B">
        <w:rPr>
          <w:rFonts w:ascii="Georgia" w:hAnsi="Georgia"/>
          <w:sz w:val="20"/>
          <w:szCs w:val="20"/>
          <w:u w:val="single"/>
        </w:rPr>
        <w:t>STANDARD DEVIATION</w:t>
      </w:r>
      <w:r w:rsidRPr="00492C15">
        <w:rPr>
          <w:rFonts w:ascii="Georgia" w:hAnsi="Georgia"/>
          <w:sz w:val="20"/>
          <w:szCs w:val="20"/>
        </w:rPr>
        <w:t>:</w:t>
      </w:r>
    </w:p>
    <w:p w14:paraId="209D2149" w14:textId="77777777" w:rsidR="00492C15" w:rsidRDefault="00492C15" w:rsidP="00492C15">
      <w:pPr>
        <w:spacing w:line="360" w:lineRule="auto"/>
        <w:ind w:left="-288"/>
        <w:rPr>
          <w:rFonts w:ascii="Georgia" w:hAnsi="Georgia"/>
          <w:sz w:val="20"/>
          <w:szCs w:val="20"/>
        </w:rPr>
      </w:pPr>
      <w:r w:rsidRPr="00492C15">
        <w:rPr>
          <w:rFonts w:ascii="Georgia" w:hAnsi="Georgia"/>
          <w:sz w:val="20"/>
          <w:szCs w:val="20"/>
        </w:rPr>
        <w:lastRenderedPageBreak/>
        <w:t>Standard deviation is derived by calculating the rolling annual standard deviation of all historical 12-month periods. For asset classes with short track records, adjustments to historical standard deviations may be made where appropriate. Such adjustments may be made using the following methodology:</w:t>
      </w:r>
    </w:p>
    <w:p w14:paraId="539A6AEC" w14:textId="77777777" w:rsidR="00E45A2B" w:rsidRPr="00492C15" w:rsidRDefault="00E45A2B" w:rsidP="00492C15">
      <w:pPr>
        <w:spacing w:line="360" w:lineRule="auto"/>
        <w:ind w:left="-288"/>
        <w:rPr>
          <w:rFonts w:ascii="Georgia" w:hAnsi="Georgia"/>
          <w:sz w:val="20"/>
          <w:szCs w:val="20"/>
        </w:rPr>
      </w:pPr>
    </w:p>
    <w:p w14:paraId="4712B85F" w14:textId="77777777" w:rsidR="00492C15" w:rsidRPr="00E45A2B" w:rsidRDefault="00492C15" w:rsidP="00492C15">
      <w:pPr>
        <w:spacing w:line="360" w:lineRule="auto"/>
        <w:ind w:left="-288"/>
        <w:rPr>
          <w:rFonts w:ascii="Georgia" w:hAnsi="Georgia"/>
          <w:b/>
          <w:bCs/>
          <w:sz w:val="20"/>
          <w:szCs w:val="20"/>
        </w:rPr>
      </w:pPr>
      <w:r w:rsidRPr="00E45A2B">
        <w:rPr>
          <w:rFonts w:ascii="Georgia" w:hAnsi="Georgia"/>
          <w:b/>
          <w:bCs/>
          <w:sz w:val="20"/>
          <w:szCs w:val="20"/>
        </w:rPr>
        <w:t xml:space="preserve">Standard Deviation (σ) of Asset = </w:t>
      </w:r>
      <w:r w:rsidRPr="00157C11">
        <w:rPr>
          <w:rFonts w:ascii="Georgia" w:hAnsi="Georgia"/>
          <w:b/>
          <w:bCs/>
          <w:sz w:val="20"/>
          <w:szCs w:val="20"/>
          <w:u w:val="single"/>
        </w:rPr>
        <w:t>[short-term σ of asset] * [long-term σ of comparable asset]</w:t>
      </w:r>
      <w:r w:rsidRPr="00E45A2B">
        <w:rPr>
          <w:rFonts w:ascii="Georgia" w:hAnsi="Georgia"/>
          <w:b/>
          <w:bCs/>
          <w:sz w:val="20"/>
          <w:szCs w:val="20"/>
        </w:rPr>
        <w:t xml:space="preserve"> </w:t>
      </w:r>
    </w:p>
    <w:p w14:paraId="3437FFF6" w14:textId="77777777" w:rsidR="00492C15" w:rsidRPr="00E45A2B" w:rsidRDefault="00492C15" w:rsidP="00492C15">
      <w:pPr>
        <w:spacing w:line="360" w:lineRule="auto"/>
        <w:ind w:left="-288"/>
        <w:rPr>
          <w:rFonts w:ascii="Georgia" w:hAnsi="Georgia"/>
          <w:b/>
          <w:bCs/>
          <w:sz w:val="20"/>
          <w:szCs w:val="20"/>
        </w:rPr>
      </w:pPr>
      <w:r w:rsidRPr="00E45A2B">
        <w:rPr>
          <w:rFonts w:ascii="Georgia" w:hAnsi="Georgia"/>
          <w:b/>
          <w:bCs/>
          <w:sz w:val="20"/>
          <w:szCs w:val="20"/>
        </w:rPr>
        <w:t xml:space="preserve">                                                                                      [short-term σ of comparable asset]</w:t>
      </w:r>
    </w:p>
    <w:p w14:paraId="5D61DE4F" w14:textId="77777777" w:rsidR="00E45A2B" w:rsidRDefault="00E45A2B" w:rsidP="00492C15">
      <w:pPr>
        <w:spacing w:line="360" w:lineRule="auto"/>
        <w:ind w:left="-288"/>
        <w:rPr>
          <w:rFonts w:ascii="Georgia" w:hAnsi="Georgia"/>
          <w:sz w:val="20"/>
          <w:szCs w:val="20"/>
        </w:rPr>
      </w:pPr>
    </w:p>
    <w:p w14:paraId="636345F9" w14:textId="3C77DCE4" w:rsidR="00492C15" w:rsidRPr="00492C15" w:rsidRDefault="00492C15" w:rsidP="00492C15">
      <w:pPr>
        <w:spacing w:line="360" w:lineRule="auto"/>
        <w:ind w:left="-288"/>
        <w:rPr>
          <w:rFonts w:ascii="Georgia" w:hAnsi="Georgia"/>
          <w:sz w:val="20"/>
          <w:szCs w:val="20"/>
        </w:rPr>
      </w:pPr>
      <w:r w:rsidRPr="00E45A2B">
        <w:rPr>
          <w:rFonts w:ascii="Georgia" w:hAnsi="Georgia"/>
          <w:sz w:val="20"/>
          <w:szCs w:val="20"/>
          <w:u w:val="single"/>
        </w:rPr>
        <w:t>CORRELATION</w:t>
      </w:r>
      <w:r w:rsidRPr="00492C15">
        <w:rPr>
          <w:rFonts w:ascii="Georgia" w:hAnsi="Georgia"/>
          <w:sz w:val="20"/>
          <w:szCs w:val="20"/>
        </w:rPr>
        <w:t>:</w:t>
      </w:r>
    </w:p>
    <w:p w14:paraId="728057D7" w14:textId="77777777" w:rsidR="00492C15" w:rsidRDefault="00492C15" w:rsidP="00492C15">
      <w:pPr>
        <w:spacing w:line="360" w:lineRule="auto"/>
        <w:ind w:left="-288"/>
        <w:rPr>
          <w:rFonts w:ascii="Georgia" w:hAnsi="Georgia"/>
          <w:sz w:val="20"/>
          <w:szCs w:val="20"/>
        </w:rPr>
      </w:pPr>
      <w:r w:rsidRPr="00492C15">
        <w:rPr>
          <w:rFonts w:ascii="Georgia" w:hAnsi="Georgia"/>
          <w:sz w:val="20"/>
          <w:szCs w:val="20"/>
        </w:rPr>
        <w:t xml:space="preserve">For all but two asset classes, correlation is calculated using long-term historical monthly data over common time periods. Cash is assumed to have a zero correlation to all asset classes. Private Equity’s correlation is calculated using long-term historical (calendar year) annual data over common time periods. </w:t>
      </w:r>
    </w:p>
    <w:p w14:paraId="601079E6" w14:textId="77777777" w:rsidR="00E45A2B" w:rsidRPr="00492C15" w:rsidRDefault="00E45A2B" w:rsidP="00492C15">
      <w:pPr>
        <w:spacing w:line="360" w:lineRule="auto"/>
        <w:ind w:left="-288"/>
        <w:rPr>
          <w:rFonts w:ascii="Georgia" w:hAnsi="Georgia"/>
          <w:sz w:val="20"/>
          <w:szCs w:val="20"/>
        </w:rPr>
      </w:pPr>
    </w:p>
    <w:p w14:paraId="40B6D302" w14:textId="77777777" w:rsidR="00492C15" w:rsidRPr="00492C15" w:rsidRDefault="00492C15" w:rsidP="00492C15">
      <w:pPr>
        <w:spacing w:line="360" w:lineRule="auto"/>
        <w:ind w:left="-288"/>
        <w:rPr>
          <w:rFonts w:ascii="Georgia" w:hAnsi="Georgia"/>
          <w:sz w:val="20"/>
          <w:szCs w:val="20"/>
        </w:rPr>
      </w:pPr>
      <w:r w:rsidRPr="00E45A2B">
        <w:rPr>
          <w:rFonts w:ascii="Georgia" w:hAnsi="Georgia"/>
          <w:sz w:val="20"/>
          <w:szCs w:val="20"/>
          <w:u w:val="single"/>
        </w:rPr>
        <w:t>SKEWNESS AND KURTOSIS</w:t>
      </w:r>
      <w:r w:rsidRPr="00492C15">
        <w:rPr>
          <w:rFonts w:ascii="Georgia" w:hAnsi="Georgia"/>
          <w:sz w:val="20"/>
          <w:szCs w:val="20"/>
        </w:rPr>
        <w:t>:</w:t>
      </w:r>
    </w:p>
    <w:p w14:paraId="40C9CFF7" w14:textId="77777777" w:rsidR="00492C15" w:rsidRPr="00492C15" w:rsidRDefault="00492C15" w:rsidP="00492C15">
      <w:pPr>
        <w:spacing w:line="360" w:lineRule="auto"/>
        <w:ind w:left="-288"/>
        <w:rPr>
          <w:rFonts w:ascii="Georgia" w:hAnsi="Georgia"/>
          <w:sz w:val="20"/>
          <w:szCs w:val="20"/>
        </w:rPr>
      </w:pPr>
      <w:r w:rsidRPr="00492C15">
        <w:rPr>
          <w:rFonts w:ascii="Georgia" w:hAnsi="Georgia"/>
          <w:sz w:val="20"/>
          <w:szCs w:val="20"/>
        </w:rPr>
        <w:t>We observe (monthly) skewness and excess kurtosis for each asset class over a uniform period of time (1997 to present). Failing to observe skewness and excess kurtosis over a uniform period of time for each asset class, especially during periods of stress (i.e., no emerging markets equity data for October 1987), will likely understate the impact of extreme events for asset classes with shorter return streams relative to those with longer return streams. Adjustments may be made to skewness and excess kurtosis from historical measures if warranted.</w:t>
      </w:r>
    </w:p>
    <w:p w14:paraId="193C0136" w14:textId="77777777" w:rsidR="00492C15" w:rsidRPr="00492C15" w:rsidRDefault="00492C15" w:rsidP="00492C15">
      <w:pPr>
        <w:spacing w:line="360" w:lineRule="auto"/>
        <w:ind w:left="-288"/>
        <w:rPr>
          <w:rFonts w:ascii="Georgia" w:hAnsi="Georgia"/>
          <w:sz w:val="20"/>
          <w:szCs w:val="20"/>
        </w:rPr>
      </w:pPr>
    </w:p>
    <w:p w14:paraId="2E073D39" w14:textId="77777777" w:rsidR="00492C15" w:rsidRPr="00492C15" w:rsidRDefault="00492C15" w:rsidP="00492C15">
      <w:pPr>
        <w:spacing w:line="360" w:lineRule="auto"/>
        <w:ind w:left="-288"/>
        <w:rPr>
          <w:rFonts w:ascii="Georgia" w:hAnsi="Georgia"/>
          <w:sz w:val="20"/>
          <w:szCs w:val="20"/>
        </w:rPr>
      </w:pPr>
    </w:p>
    <w:p w14:paraId="66C48DEB" w14:textId="77777777" w:rsidR="00492C15" w:rsidRDefault="00492C15" w:rsidP="00492C15">
      <w:pPr>
        <w:spacing w:line="360" w:lineRule="auto"/>
        <w:ind w:left="-288"/>
        <w:rPr>
          <w:rFonts w:ascii="Georgia" w:hAnsi="Georgia"/>
          <w:sz w:val="20"/>
          <w:szCs w:val="20"/>
        </w:rPr>
      </w:pPr>
      <w:r w:rsidRPr="00492C15">
        <w:rPr>
          <w:rFonts w:ascii="Georgia" w:hAnsi="Georgia"/>
          <w:sz w:val="20"/>
          <w:szCs w:val="20"/>
        </w:rPr>
        <w:t>Fiducient Advisors reserves the right to make corrections for over or undervaluation of asset classes (or what we believe is capital markets disequilibrium) when developing forecasts. An expectation of mean-reversion in relative valuations (convergence of relationships) may be used when developing 10-year capital market assumptions.</w:t>
      </w:r>
    </w:p>
    <w:p w14:paraId="4609DCB2" w14:textId="77777777" w:rsidR="00492C15" w:rsidRDefault="00492C15" w:rsidP="00492C15">
      <w:pPr>
        <w:spacing w:line="360" w:lineRule="auto"/>
        <w:ind w:left="-288"/>
        <w:rPr>
          <w:rFonts w:ascii="Georgia" w:hAnsi="Georgia"/>
          <w:sz w:val="20"/>
          <w:szCs w:val="20"/>
        </w:rPr>
      </w:pPr>
    </w:p>
    <w:p w14:paraId="3DB225BF" w14:textId="77777777" w:rsidR="00492C15" w:rsidRDefault="00492C15" w:rsidP="00492C15">
      <w:pPr>
        <w:spacing w:line="360" w:lineRule="auto"/>
        <w:ind w:left="-288"/>
        <w:rPr>
          <w:rFonts w:ascii="Georgia" w:hAnsi="Georgia"/>
          <w:sz w:val="20"/>
          <w:szCs w:val="20"/>
        </w:rPr>
      </w:pPr>
    </w:p>
    <w:p w14:paraId="73F99E71" w14:textId="77777777" w:rsidR="00CC07A7" w:rsidRDefault="00CC07A7" w:rsidP="00492C15">
      <w:pPr>
        <w:spacing w:line="360" w:lineRule="auto"/>
        <w:ind w:left="-288"/>
        <w:rPr>
          <w:rFonts w:ascii="Georgia" w:hAnsi="Georgia"/>
          <w:sz w:val="20"/>
          <w:szCs w:val="20"/>
        </w:rPr>
      </w:pPr>
    </w:p>
    <w:p w14:paraId="1D7E798B" w14:textId="77777777" w:rsidR="00CC07A7" w:rsidRDefault="00CC07A7" w:rsidP="00492C15">
      <w:pPr>
        <w:spacing w:line="360" w:lineRule="auto"/>
        <w:ind w:left="-288"/>
        <w:rPr>
          <w:rFonts w:ascii="Georgia" w:hAnsi="Georgia"/>
          <w:sz w:val="20"/>
          <w:szCs w:val="20"/>
        </w:rPr>
      </w:pPr>
    </w:p>
    <w:p w14:paraId="4084BD30" w14:textId="77777777" w:rsidR="00CC07A7" w:rsidRDefault="00CC07A7" w:rsidP="00492C15">
      <w:pPr>
        <w:spacing w:line="360" w:lineRule="auto"/>
        <w:ind w:left="-288"/>
        <w:rPr>
          <w:rFonts w:ascii="Georgia" w:hAnsi="Georgia"/>
          <w:sz w:val="20"/>
          <w:szCs w:val="20"/>
        </w:rPr>
      </w:pPr>
    </w:p>
    <w:p w14:paraId="15473F07" w14:textId="77777777" w:rsidR="00CC07A7" w:rsidRDefault="00CC07A7" w:rsidP="00492C15">
      <w:pPr>
        <w:spacing w:line="360" w:lineRule="auto"/>
        <w:ind w:left="-288"/>
        <w:rPr>
          <w:rFonts w:ascii="Georgia" w:hAnsi="Georgia"/>
          <w:sz w:val="20"/>
          <w:szCs w:val="20"/>
        </w:rPr>
      </w:pPr>
    </w:p>
    <w:p w14:paraId="4C7DC044" w14:textId="77777777" w:rsidR="00CC07A7" w:rsidRDefault="00CC07A7" w:rsidP="00492C15">
      <w:pPr>
        <w:spacing w:line="360" w:lineRule="auto"/>
        <w:ind w:left="-288"/>
        <w:rPr>
          <w:rFonts w:ascii="Georgia" w:hAnsi="Georgia"/>
          <w:sz w:val="20"/>
          <w:szCs w:val="20"/>
        </w:rPr>
      </w:pPr>
    </w:p>
    <w:p w14:paraId="06CDC1C3" w14:textId="77777777" w:rsidR="00CC07A7" w:rsidRDefault="00CC07A7" w:rsidP="00492C15">
      <w:pPr>
        <w:spacing w:line="360" w:lineRule="auto"/>
        <w:ind w:left="-288"/>
        <w:rPr>
          <w:rFonts w:ascii="Georgia" w:hAnsi="Georgia"/>
          <w:sz w:val="20"/>
          <w:szCs w:val="20"/>
        </w:rPr>
      </w:pPr>
    </w:p>
    <w:p w14:paraId="70E0D489" w14:textId="77777777" w:rsidR="00CC07A7" w:rsidRDefault="00CC07A7" w:rsidP="00492C15">
      <w:pPr>
        <w:spacing w:line="360" w:lineRule="auto"/>
        <w:ind w:left="-288"/>
        <w:rPr>
          <w:rFonts w:ascii="Georgia" w:hAnsi="Georgia"/>
          <w:sz w:val="20"/>
          <w:szCs w:val="20"/>
        </w:rPr>
      </w:pPr>
    </w:p>
    <w:p w14:paraId="35D42AE7" w14:textId="77777777" w:rsidR="00CC07A7" w:rsidRDefault="00CC07A7" w:rsidP="00492C15">
      <w:pPr>
        <w:spacing w:line="360" w:lineRule="auto"/>
        <w:ind w:left="-288"/>
        <w:rPr>
          <w:rFonts w:ascii="Georgia" w:hAnsi="Georgia"/>
          <w:sz w:val="20"/>
          <w:szCs w:val="20"/>
        </w:rPr>
      </w:pPr>
    </w:p>
    <w:p w14:paraId="41DD2DD7" w14:textId="77777777" w:rsidR="00CC07A7" w:rsidRDefault="00CC07A7" w:rsidP="00492C15">
      <w:pPr>
        <w:spacing w:line="360" w:lineRule="auto"/>
        <w:ind w:left="-288"/>
        <w:rPr>
          <w:rFonts w:ascii="Georgia" w:hAnsi="Georgia"/>
          <w:sz w:val="20"/>
          <w:szCs w:val="20"/>
        </w:rPr>
      </w:pPr>
    </w:p>
    <w:p w14:paraId="3FFA4BF2" w14:textId="77777777" w:rsidR="00CC07A7" w:rsidRDefault="00CC07A7" w:rsidP="00492C15">
      <w:pPr>
        <w:spacing w:line="360" w:lineRule="auto"/>
        <w:ind w:left="-288"/>
        <w:rPr>
          <w:rFonts w:ascii="Georgia" w:hAnsi="Georgia"/>
          <w:sz w:val="20"/>
          <w:szCs w:val="20"/>
        </w:rPr>
      </w:pPr>
    </w:p>
    <w:p w14:paraId="420A9493" w14:textId="77777777" w:rsidR="00CC07A7" w:rsidRDefault="00CC07A7" w:rsidP="00492C15">
      <w:pPr>
        <w:spacing w:line="360" w:lineRule="auto"/>
        <w:ind w:left="-288"/>
        <w:rPr>
          <w:rFonts w:ascii="Georgia" w:hAnsi="Georgia"/>
          <w:sz w:val="20"/>
          <w:szCs w:val="20"/>
        </w:rPr>
      </w:pPr>
    </w:p>
    <w:p w14:paraId="3BDC4303" w14:textId="77777777" w:rsidR="00CC07A7" w:rsidRDefault="00CC07A7" w:rsidP="00492C15">
      <w:pPr>
        <w:spacing w:line="360" w:lineRule="auto"/>
        <w:ind w:left="-288"/>
        <w:rPr>
          <w:rFonts w:ascii="Georgia" w:hAnsi="Georgia"/>
          <w:sz w:val="20"/>
          <w:szCs w:val="20"/>
        </w:rPr>
      </w:pPr>
    </w:p>
    <w:p w14:paraId="7F8FD757" w14:textId="77777777" w:rsidR="00CC07A7" w:rsidRDefault="00CC07A7" w:rsidP="00492C15">
      <w:pPr>
        <w:spacing w:line="360" w:lineRule="auto"/>
        <w:ind w:left="-288"/>
        <w:rPr>
          <w:rFonts w:ascii="Georgia" w:hAnsi="Georgia"/>
          <w:sz w:val="20"/>
          <w:szCs w:val="20"/>
        </w:rPr>
      </w:pPr>
    </w:p>
    <w:p w14:paraId="1A0CB1D3" w14:textId="77777777" w:rsidR="000E2D0E" w:rsidRDefault="000E2D0E" w:rsidP="00492C15">
      <w:pPr>
        <w:spacing w:line="360" w:lineRule="auto"/>
        <w:ind w:left="-288"/>
        <w:rPr>
          <w:rFonts w:ascii="Georgia" w:hAnsi="Georgia"/>
          <w:b/>
          <w:bCs/>
          <w:color w:val="009CDE"/>
          <w:sz w:val="28"/>
          <w:szCs w:val="36"/>
        </w:rPr>
      </w:pPr>
      <w:r w:rsidRPr="000E2D0E">
        <w:rPr>
          <w:rFonts w:ascii="Georgia" w:hAnsi="Georgia"/>
          <w:b/>
          <w:bCs/>
          <w:color w:val="009CDE"/>
          <w:sz w:val="28"/>
          <w:szCs w:val="36"/>
        </w:rPr>
        <w:lastRenderedPageBreak/>
        <w:t>APPENDIX 7: Material Risk Disclosures</w:t>
      </w:r>
    </w:p>
    <w:p w14:paraId="6C3EE804" w14:textId="77777777" w:rsidR="007116B7" w:rsidRDefault="006973FD" w:rsidP="006973FD">
      <w:pPr>
        <w:spacing w:line="360" w:lineRule="auto"/>
        <w:ind w:left="-288"/>
        <w:rPr>
          <w:rFonts w:ascii="Georgia" w:hAnsi="Georgia"/>
          <w:sz w:val="20"/>
          <w:szCs w:val="20"/>
        </w:rPr>
      </w:pPr>
      <w:r w:rsidRPr="006973FD">
        <w:rPr>
          <w:rFonts w:ascii="Georgia" w:hAnsi="Georgia"/>
          <w:b/>
          <w:bCs/>
          <w:sz w:val="20"/>
          <w:szCs w:val="20"/>
        </w:rPr>
        <w:t>Fixed Income</w:t>
      </w:r>
      <w:r w:rsidRPr="006973FD">
        <w:rPr>
          <w:rFonts w:ascii="Georgia" w:hAnsi="Georgia"/>
          <w:sz w:val="20"/>
          <w:szCs w:val="20"/>
        </w:rPr>
        <w:t xml:space="preserve"> securities are subject to interest rate risks, the risk of default and liquidity risk. U.S. investors exposed to non-U.S. fixed income may also be subject to currency risk and fluctuations.</w:t>
      </w:r>
    </w:p>
    <w:p w14:paraId="5B21D4C3" w14:textId="270E577C" w:rsidR="006973FD" w:rsidRPr="006973FD" w:rsidRDefault="006973FD" w:rsidP="006973FD">
      <w:pPr>
        <w:spacing w:line="360" w:lineRule="auto"/>
        <w:ind w:left="-288"/>
        <w:rPr>
          <w:rFonts w:ascii="Georgia" w:hAnsi="Georgia"/>
          <w:sz w:val="20"/>
          <w:szCs w:val="20"/>
        </w:rPr>
      </w:pPr>
      <w:r w:rsidRPr="006973FD">
        <w:rPr>
          <w:rFonts w:ascii="Georgia" w:hAnsi="Georgia"/>
          <w:sz w:val="20"/>
          <w:szCs w:val="20"/>
        </w:rPr>
        <w:t xml:space="preserve"> </w:t>
      </w:r>
    </w:p>
    <w:p w14:paraId="3BEC1A20" w14:textId="7B36472A" w:rsidR="006973FD" w:rsidRDefault="006973FD" w:rsidP="006973FD">
      <w:pPr>
        <w:spacing w:line="360" w:lineRule="auto"/>
        <w:ind w:left="-288"/>
        <w:rPr>
          <w:rFonts w:ascii="Georgia" w:hAnsi="Georgia"/>
          <w:sz w:val="20"/>
          <w:szCs w:val="20"/>
        </w:rPr>
      </w:pPr>
      <w:r w:rsidRPr="006973FD">
        <w:rPr>
          <w:rFonts w:ascii="Georgia" w:hAnsi="Georgia"/>
          <w:b/>
          <w:bCs/>
          <w:sz w:val="20"/>
          <w:szCs w:val="20"/>
        </w:rPr>
        <w:t>Cash</w:t>
      </w:r>
      <w:r w:rsidRPr="006973FD">
        <w:rPr>
          <w:rFonts w:ascii="Georgia" w:hAnsi="Georgia"/>
          <w:sz w:val="20"/>
          <w:szCs w:val="20"/>
        </w:rPr>
        <w:t xml:space="preserve"> may be subject to the loss of principal and over longer period of time may lose purchasing power due to inflation.</w:t>
      </w:r>
    </w:p>
    <w:p w14:paraId="161DAC45" w14:textId="77777777" w:rsidR="007116B7" w:rsidRPr="006973FD" w:rsidRDefault="007116B7" w:rsidP="006973FD">
      <w:pPr>
        <w:spacing w:line="360" w:lineRule="auto"/>
        <w:ind w:left="-288"/>
        <w:rPr>
          <w:rFonts w:ascii="Georgia" w:hAnsi="Georgia"/>
          <w:sz w:val="20"/>
          <w:szCs w:val="20"/>
        </w:rPr>
      </w:pPr>
    </w:p>
    <w:p w14:paraId="6BB31CEE" w14:textId="0B669ED3" w:rsidR="006973FD" w:rsidRDefault="006973FD" w:rsidP="006973FD">
      <w:pPr>
        <w:spacing w:line="360" w:lineRule="auto"/>
        <w:ind w:left="-288"/>
        <w:rPr>
          <w:rFonts w:ascii="Georgia" w:hAnsi="Georgia"/>
          <w:sz w:val="20"/>
          <w:szCs w:val="20"/>
        </w:rPr>
      </w:pPr>
      <w:r w:rsidRPr="007116B7">
        <w:rPr>
          <w:rFonts w:ascii="Georgia" w:hAnsi="Georgia"/>
          <w:b/>
          <w:bCs/>
          <w:sz w:val="20"/>
          <w:szCs w:val="20"/>
        </w:rPr>
        <w:t>Domestic Equity</w:t>
      </w:r>
      <w:r w:rsidRPr="006973FD">
        <w:rPr>
          <w:rFonts w:ascii="Georgia" w:hAnsi="Georgia"/>
          <w:sz w:val="20"/>
          <w:szCs w:val="20"/>
        </w:rPr>
        <w:t xml:space="preserve"> can be volatile. The rise or fall in prices take place for a number of reasons including, but not limited to changes to underlying company conditions, sector or industry factors, or other macro events. These may happen quickly and unpredictably.</w:t>
      </w:r>
    </w:p>
    <w:p w14:paraId="247BD396" w14:textId="77777777" w:rsidR="007116B7" w:rsidRPr="006973FD" w:rsidRDefault="007116B7" w:rsidP="006973FD">
      <w:pPr>
        <w:spacing w:line="360" w:lineRule="auto"/>
        <w:ind w:left="-288"/>
        <w:rPr>
          <w:rFonts w:ascii="Georgia" w:hAnsi="Georgia"/>
          <w:sz w:val="20"/>
          <w:szCs w:val="20"/>
        </w:rPr>
      </w:pPr>
    </w:p>
    <w:p w14:paraId="5169D876" w14:textId="3D70F616" w:rsidR="006973FD" w:rsidRDefault="006973FD" w:rsidP="006973FD">
      <w:pPr>
        <w:spacing w:line="360" w:lineRule="auto"/>
        <w:ind w:left="-288"/>
        <w:rPr>
          <w:rFonts w:ascii="Georgia" w:hAnsi="Georgia"/>
          <w:sz w:val="20"/>
          <w:szCs w:val="20"/>
        </w:rPr>
      </w:pPr>
      <w:r w:rsidRPr="007116B7">
        <w:rPr>
          <w:rFonts w:ascii="Georgia" w:hAnsi="Georgia"/>
          <w:b/>
          <w:bCs/>
          <w:sz w:val="20"/>
          <w:szCs w:val="20"/>
        </w:rPr>
        <w:t>International Equity</w:t>
      </w:r>
      <w:r w:rsidRPr="006973FD">
        <w:rPr>
          <w:rFonts w:ascii="Georgia" w:hAnsi="Georgia"/>
          <w:sz w:val="20"/>
          <w:szCs w:val="20"/>
        </w:rPr>
        <w:t xml:space="preserve"> can be volatile. The rise or fall in prices take place for a number of reasons including, but not limited to changes to underlying company conditions, sector or industry impacts, or other macro events. These may happen quickly and unpredictably. International equity allocations may also be impact by currency and/or country specific risks which may result in lower liquidity in some markets.</w:t>
      </w:r>
    </w:p>
    <w:p w14:paraId="0341AF45" w14:textId="77777777" w:rsidR="007116B7" w:rsidRPr="006973FD" w:rsidRDefault="007116B7" w:rsidP="006973FD">
      <w:pPr>
        <w:spacing w:line="360" w:lineRule="auto"/>
        <w:ind w:left="-288"/>
        <w:rPr>
          <w:rFonts w:ascii="Georgia" w:hAnsi="Georgia"/>
          <w:sz w:val="20"/>
          <w:szCs w:val="20"/>
        </w:rPr>
      </w:pPr>
    </w:p>
    <w:p w14:paraId="64A20666" w14:textId="09ED9E12" w:rsidR="006973FD" w:rsidRDefault="006973FD" w:rsidP="006973FD">
      <w:pPr>
        <w:spacing w:line="360" w:lineRule="auto"/>
        <w:ind w:left="-288"/>
        <w:rPr>
          <w:rFonts w:ascii="Georgia" w:hAnsi="Georgia"/>
          <w:sz w:val="20"/>
          <w:szCs w:val="20"/>
        </w:rPr>
      </w:pPr>
      <w:r w:rsidRPr="007116B7">
        <w:rPr>
          <w:rFonts w:ascii="Georgia" w:hAnsi="Georgia"/>
          <w:b/>
          <w:bCs/>
          <w:sz w:val="20"/>
          <w:szCs w:val="20"/>
        </w:rPr>
        <w:t>Real Assets</w:t>
      </w:r>
      <w:r w:rsidRPr="006973FD">
        <w:rPr>
          <w:rFonts w:ascii="Georgia" w:hAnsi="Georgia"/>
          <w:sz w:val="20"/>
          <w:szCs w:val="20"/>
        </w:rPr>
        <w:t xml:space="preserve"> can be volatile and may include asset segments that may have greater volatility than investment in traditional equity securities. Such volatility could be influenced by a myriad of factors including, but not limited to overall market volatility, changes in interest rates, political and regulatory developments, or other exogenous events like weather or natural disaster.</w:t>
      </w:r>
    </w:p>
    <w:p w14:paraId="5456DA3D" w14:textId="77777777" w:rsidR="007116B7" w:rsidRPr="006973FD" w:rsidRDefault="007116B7" w:rsidP="006973FD">
      <w:pPr>
        <w:spacing w:line="360" w:lineRule="auto"/>
        <w:ind w:left="-288"/>
        <w:rPr>
          <w:rFonts w:ascii="Georgia" w:hAnsi="Georgia"/>
          <w:sz w:val="20"/>
          <w:szCs w:val="20"/>
        </w:rPr>
      </w:pPr>
    </w:p>
    <w:p w14:paraId="36DC6799" w14:textId="33A4B8E1" w:rsidR="006973FD" w:rsidRDefault="006973FD" w:rsidP="006973FD">
      <w:pPr>
        <w:spacing w:line="360" w:lineRule="auto"/>
        <w:ind w:left="-288"/>
        <w:rPr>
          <w:rFonts w:ascii="Georgia" w:hAnsi="Georgia"/>
          <w:sz w:val="20"/>
          <w:szCs w:val="20"/>
        </w:rPr>
      </w:pPr>
      <w:r w:rsidRPr="007116B7">
        <w:rPr>
          <w:rFonts w:ascii="Georgia" w:hAnsi="Georgia"/>
          <w:b/>
          <w:bCs/>
          <w:sz w:val="20"/>
          <w:szCs w:val="20"/>
        </w:rPr>
        <w:t>Private Equity</w:t>
      </w:r>
      <w:r w:rsidRPr="006973FD">
        <w:rPr>
          <w:rFonts w:ascii="Georgia" w:hAnsi="Georgia"/>
          <w:sz w:val="20"/>
          <w:szCs w:val="20"/>
        </w:rPr>
        <w:t xml:space="preserve"> involves higher risk and is suitable only for sophisticated investors. Along with traditional equity market risks, private equity investments are also subject to higher fees, lower liquidity and the potential for leverage that may amplify volatility and/or the potential loss of capital.</w:t>
      </w:r>
    </w:p>
    <w:p w14:paraId="52EE7963" w14:textId="77777777" w:rsidR="007116B7" w:rsidRPr="006973FD" w:rsidRDefault="007116B7" w:rsidP="006973FD">
      <w:pPr>
        <w:spacing w:line="360" w:lineRule="auto"/>
        <w:ind w:left="-288"/>
        <w:rPr>
          <w:rFonts w:ascii="Georgia" w:hAnsi="Georgia"/>
          <w:sz w:val="20"/>
          <w:szCs w:val="20"/>
        </w:rPr>
      </w:pPr>
    </w:p>
    <w:p w14:paraId="73F899AC" w14:textId="0F41C2C0" w:rsidR="00492C15" w:rsidRDefault="006973FD" w:rsidP="00492C15">
      <w:pPr>
        <w:spacing w:line="360" w:lineRule="auto"/>
        <w:ind w:left="-288"/>
        <w:rPr>
          <w:rFonts w:ascii="Georgia" w:hAnsi="Georgia"/>
          <w:sz w:val="20"/>
          <w:szCs w:val="20"/>
        </w:rPr>
      </w:pPr>
      <w:r w:rsidRPr="007116B7">
        <w:rPr>
          <w:rFonts w:ascii="Georgia" w:hAnsi="Georgia"/>
          <w:b/>
          <w:bCs/>
          <w:sz w:val="20"/>
          <w:szCs w:val="20"/>
        </w:rPr>
        <w:t>Marketable Alternatives</w:t>
      </w:r>
      <w:r w:rsidRPr="006973FD">
        <w:rPr>
          <w:rFonts w:ascii="Georgia" w:hAnsi="Georgia"/>
          <w:sz w:val="20"/>
          <w:szCs w:val="20"/>
        </w:rPr>
        <w:t xml:space="preserve"> involves higher risk and is suitable only for sophisticated investors. Along with traditional market risks, marketable alternatives are also subject to higher fees, lower liquidity and the potential for leverage that may amplify volatility or the potential for loss of capital. Additionally, short selling involved certain risks including, but not limited to additional costs, and the potential for unlimited loss on certain short sale positions.</w:t>
      </w:r>
    </w:p>
    <w:p w14:paraId="21E09EB0" w14:textId="77777777" w:rsidR="0014274E" w:rsidRDefault="0014274E" w:rsidP="00492C15">
      <w:pPr>
        <w:spacing w:line="360" w:lineRule="auto"/>
        <w:ind w:left="-288"/>
        <w:rPr>
          <w:rFonts w:ascii="Georgia" w:hAnsi="Georgia"/>
          <w:sz w:val="20"/>
          <w:szCs w:val="20"/>
        </w:rPr>
      </w:pPr>
    </w:p>
    <w:p w14:paraId="15DAA0E8" w14:textId="77777777" w:rsidR="0014274E" w:rsidRDefault="0014274E" w:rsidP="00492C15">
      <w:pPr>
        <w:spacing w:line="360" w:lineRule="auto"/>
        <w:ind w:left="-288"/>
        <w:rPr>
          <w:rFonts w:ascii="Georgia" w:hAnsi="Georgia"/>
          <w:sz w:val="20"/>
          <w:szCs w:val="20"/>
        </w:rPr>
      </w:pPr>
    </w:p>
    <w:p w14:paraId="788077A5" w14:textId="77777777" w:rsidR="0014274E" w:rsidRDefault="0014274E" w:rsidP="00492C15">
      <w:pPr>
        <w:spacing w:line="360" w:lineRule="auto"/>
        <w:ind w:left="-288"/>
        <w:rPr>
          <w:rFonts w:ascii="Georgia" w:hAnsi="Georgia"/>
          <w:sz w:val="20"/>
          <w:szCs w:val="20"/>
        </w:rPr>
      </w:pPr>
    </w:p>
    <w:p w14:paraId="4DB6EE39" w14:textId="77777777" w:rsidR="0014274E" w:rsidRDefault="0014274E" w:rsidP="00492C15">
      <w:pPr>
        <w:spacing w:line="360" w:lineRule="auto"/>
        <w:ind w:left="-288"/>
        <w:rPr>
          <w:rFonts w:ascii="Georgia" w:hAnsi="Georgia"/>
          <w:sz w:val="20"/>
          <w:szCs w:val="20"/>
        </w:rPr>
      </w:pPr>
    </w:p>
    <w:p w14:paraId="74E94196" w14:textId="77777777" w:rsidR="00492C15" w:rsidRDefault="00492C15" w:rsidP="00492C15">
      <w:pPr>
        <w:spacing w:line="360" w:lineRule="auto"/>
        <w:ind w:left="-288"/>
        <w:rPr>
          <w:rFonts w:ascii="Georgia" w:hAnsi="Georgia"/>
          <w:sz w:val="20"/>
          <w:szCs w:val="20"/>
        </w:rPr>
      </w:pPr>
    </w:p>
    <w:p w14:paraId="273F0BD6" w14:textId="77777777" w:rsidR="0014274E" w:rsidRDefault="0014274E" w:rsidP="00492C15">
      <w:pPr>
        <w:spacing w:line="360" w:lineRule="auto"/>
        <w:ind w:left="-288"/>
        <w:rPr>
          <w:rFonts w:ascii="Georgia" w:hAnsi="Georgia"/>
          <w:sz w:val="20"/>
          <w:szCs w:val="20"/>
        </w:rPr>
      </w:pPr>
    </w:p>
    <w:p w14:paraId="4E7610AA" w14:textId="77777777" w:rsidR="006D2AA4" w:rsidRPr="006D2AA4" w:rsidRDefault="001B2C4D" w:rsidP="006D2AA4">
      <w:pPr>
        <w:spacing w:line="360" w:lineRule="auto"/>
        <w:ind w:left="-288"/>
        <w:rPr>
          <w:rFonts w:ascii="Georgia" w:hAnsi="Georgia"/>
          <w:sz w:val="20"/>
          <w:szCs w:val="20"/>
        </w:rPr>
      </w:pPr>
      <w:r w:rsidRPr="001B2C4D">
        <w:rPr>
          <w:rFonts w:ascii="Georgia" w:hAnsi="Georgia"/>
          <w:b/>
          <w:bCs/>
          <w:color w:val="009CDE"/>
          <w:sz w:val="28"/>
          <w:szCs w:val="36"/>
        </w:rPr>
        <w:lastRenderedPageBreak/>
        <w:t xml:space="preserve">Appendix 8: Frontier Engineer Hypothetical Performance Disclosures  </w:t>
      </w:r>
      <w:r w:rsidR="0014274E">
        <w:rPr>
          <w:rFonts w:ascii="Georgia" w:hAnsi="Georgia"/>
          <w:b/>
          <w:bCs/>
          <w:color w:val="ED7D31" w:themeColor="accent2"/>
          <w:sz w:val="28"/>
          <w:szCs w:val="36"/>
        </w:rPr>
        <w:br/>
      </w:r>
      <w:r w:rsidR="006D2AA4" w:rsidRPr="006D2AA4">
        <w:rPr>
          <w:rFonts w:ascii="Georgia" w:hAnsi="Georgia"/>
          <w:sz w:val="20"/>
          <w:szCs w:val="20"/>
        </w:rPr>
        <w:t xml:space="preserve">The historical performance information derived from the Frontier Engineer and used or presented in charts, tables, or graphs represent simulated historical performance, which has been derived by retroactively applying an asset allocation modeling process in its most recently developed form with its most recently derived ten-year (forward-looking) capital market assumptions. Such historical return simulations (or back testing) was performed by simulating the combination of actual index returns for the historical period with a buy and hold strategy effective January 1, 1988 through the most recently available month-end date with simulated rebalancing occurring every month-end (with the reinvestment of dividends and capital gains from each index). </w:t>
      </w:r>
    </w:p>
    <w:p w14:paraId="7E079F46" w14:textId="77777777" w:rsidR="00DA43C8" w:rsidRDefault="00DA43C8" w:rsidP="006D2AA4">
      <w:pPr>
        <w:spacing w:line="360" w:lineRule="auto"/>
        <w:ind w:left="-288"/>
        <w:rPr>
          <w:rFonts w:ascii="Georgia" w:hAnsi="Georgia"/>
          <w:sz w:val="20"/>
          <w:szCs w:val="20"/>
        </w:rPr>
      </w:pPr>
    </w:p>
    <w:p w14:paraId="226A209A" w14:textId="0532843C" w:rsidR="006D2AA4" w:rsidRPr="006D2AA4" w:rsidRDefault="006D2AA4" w:rsidP="006D2AA4">
      <w:pPr>
        <w:spacing w:line="360" w:lineRule="auto"/>
        <w:ind w:left="-288"/>
        <w:rPr>
          <w:rFonts w:ascii="Georgia" w:hAnsi="Georgia"/>
          <w:sz w:val="20"/>
          <w:szCs w:val="20"/>
        </w:rPr>
      </w:pPr>
      <w:r w:rsidRPr="006D2AA4">
        <w:rPr>
          <w:rFonts w:ascii="Georgia" w:hAnsi="Georgia"/>
          <w:sz w:val="20"/>
          <w:szCs w:val="20"/>
        </w:rPr>
        <w:t xml:space="preserve">Back tested performance is hypothetical and does not reflect actual trades or actual client performance. As with all models, there are inherent limitations which are derived from the retroactive application developed with the benefit of hindsight, including the risk that certain factors such as material economic and market conditions could have contributed to materially different (either higher or lower) performance results than those depicted, or that certain material factors may have been included or excluded from consideration. As such, actual results during the applicable back tested period would have been different than those depicted. </w:t>
      </w:r>
    </w:p>
    <w:p w14:paraId="5C717B6D" w14:textId="77777777" w:rsidR="006D2AA4" w:rsidRPr="006D2AA4" w:rsidRDefault="006D2AA4" w:rsidP="006D2AA4">
      <w:pPr>
        <w:spacing w:line="360" w:lineRule="auto"/>
        <w:ind w:left="-288"/>
        <w:rPr>
          <w:rFonts w:ascii="Georgia" w:hAnsi="Georgia"/>
          <w:sz w:val="20"/>
          <w:szCs w:val="20"/>
        </w:rPr>
      </w:pPr>
    </w:p>
    <w:p w14:paraId="0898E961" w14:textId="77777777" w:rsidR="006D2AA4" w:rsidRDefault="006D2AA4" w:rsidP="006D2AA4">
      <w:pPr>
        <w:spacing w:line="360" w:lineRule="auto"/>
        <w:ind w:left="-288"/>
        <w:rPr>
          <w:rFonts w:ascii="Georgia" w:hAnsi="Georgia"/>
          <w:sz w:val="20"/>
          <w:szCs w:val="20"/>
        </w:rPr>
      </w:pPr>
      <w:r w:rsidRPr="006D2AA4">
        <w:rPr>
          <w:rFonts w:ascii="Georgia" w:hAnsi="Georgia"/>
          <w:sz w:val="20"/>
          <w:szCs w:val="20"/>
        </w:rPr>
        <w:t>The asset allocation modeling process currently used was initially developed in 2002, and was not offered as a strategy prior to that time. The output of a forward-looking model (or process) is a representation of allocation percentages among specific asset classes. Clients cannot invest directly in a target allocation, but rather, in underlying securities within designated asset classes. Advisor may change its models from time to time, and regularly updates its model as additional capital market assumption information becomes available or to increase or decrease relative weightings or emphasis on certain factors. Consequently, the Advisor may choose to deviate from a stated model over time as the model itself is revised, which could have a materially positive or negative impact on performance.</w:t>
      </w:r>
    </w:p>
    <w:p w14:paraId="2612E7BC" w14:textId="77777777" w:rsidR="00DA43C8" w:rsidRPr="006D2AA4" w:rsidRDefault="00DA43C8" w:rsidP="006D2AA4">
      <w:pPr>
        <w:spacing w:line="360" w:lineRule="auto"/>
        <w:ind w:left="-288"/>
        <w:rPr>
          <w:rFonts w:ascii="Georgia" w:hAnsi="Georgia"/>
          <w:sz w:val="20"/>
          <w:szCs w:val="20"/>
        </w:rPr>
      </w:pPr>
    </w:p>
    <w:p w14:paraId="3E1AED1C" w14:textId="77777777" w:rsidR="00DA43C8" w:rsidRDefault="006D2AA4" w:rsidP="006D2AA4">
      <w:pPr>
        <w:spacing w:line="360" w:lineRule="auto"/>
        <w:ind w:left="-288"/>
        <w:rPr>
          <w:rFonts w:ascii="Georgia" w:hAnsi="Georgia"/>
          <w:sz w:val="20"/>
          <w:szCs w:val="20"/>
        </w:rPr>
      </w:pPr>
      <w:r w:rsidRPr="006D2AA4">
        <w:rPr>
          <w:rFonts w:ascii="Georgia" w:hAnsi="Georgia"/>
          <w:sz w:val="20"/>
          <w:szCs w:val="20"/>
        </w:rPr>
        <w:t>During the period represented, numerous modelling changes were made, including the regular changes in (ten-year) forward-looking expected returns, expected volatilities, expected non-normal return distribution assumptions, as well as tracking-error assumptions and risk budgets. Furthermore, such assumptions can be modified client-by-client depending on certain preferences, priorities, constraints or unique considerations applicable to each client.</w:t>
      </w:r>
    </w:p>
    <w:p w14:paraId="6D3DED7A" w14:textId="3E50D57D" w:rsidR="006D2AA4" w:rsidRPr="006D2AA4" w:rsidRDefault="006D2AA4" w:rsidP="006D2AA4">
      <w:pPr>
        <w:spacing w:line="360" w:lineRule="auto"/>
        <w:ind w:left="-288"/>
        <w:rPr>
          <w:rFonts w:ascii="Georgia" w:hAnsi="Georgia"/>
          <w:sz w:val="20"/>
          <w:szCs w:val="20"/>
        </w:rPr>
      </w:pPr>
      <w:r w:rsidRPr="006D2AA4">
        <w:rPr>
          <w:rFonts w:ascii="Georgia" w:hAnsi="Georgia"/>
          <w:sz w:val="20"/>
          <w:szCs w:val="20"/>
        </w:rPr>
        <w:t xml:space="preserve"> </w:t>
      </w:r>
    </w:p>
    <w:p w14:paraId="6CFEAE76" w14:textId="77777777" w:rsidR="00DA43C8" w:rsidRDefault="006D2AA4" w:rsidP="006D2AA4">
      <w:pPr>
        <w:spacing w:line="360" w:lineRule="auto"/>
        <w:ind w:left="-288"/>
        <w:rPr>
          <w:rFonts w:ascii="Georgia" w:hAnsi="Georgia"/>
          <w:sz w:val="20"/>
          <w:szCs w:val="20"/>
        </w:rPr>
      </w:pPr>
      <w:r w:rsidRPr="006D2AA4">
        <w:rPr>
          <w:rFonts w:ascii="Georgia" w:hAnsi="Georgia"/>
          <w:sz w:val="20"/>
          <w:szCs w:val="20"/>
        </w:rPr>
        <w:t>Other economic and market factors may have impacted decision-making when using the model to manage client funds, including the list of approved asset classes by a client or client type as well as any client-directed or Advisor implemented constraints.</w:t>
      </w:r>
    </w:p>
    <w:p w14:paraId="7BCC46D8" w14:textId="2A0716B4" w:rsidR="006D2AA4" w:rsidRPr="006D2AA4" w:rsidRDefault="006D2AA4" w:rsidP="006D2AA4">
      <w:pPr>
        <w:spacing w:line="360" w:lineRule="auto"/>
        <w:ind w:left="-288"/>
        <w:rPr>
          <w:rFonts w:ascii="Georgia" w:hAnsi="Georgia"/>
          <w:sz w:val="20"/>
          <w:szCs w:val="20"/>
        </w:rPr>
      </w:pPr>
      <w:r w:rsidRPr="006D2AA4">
        <w:rPr>
          <w:rFonts w:ascii="Georgia" w:hAnsi="Georgia"/>
          <w:sz w:val="20"/>
          <w:szCs w:val="20"/>
        </w:rPr>
        <w:t xml:space="preserve"> </w:t>
      </w:r>
    </w:p>
    <w:p w14:paraId="7E33E4F6" w14:textId="77777777" w:rsidR="00DA43C8" w:rsidRDefault="006D2AA4" w:rsidP="006D2AA4">
      <w:pPr>
        <w:spacing w:line="360" w:lineRule="auto"/>
        <w:ind w:left="-288"/>
        <w:rPr>
          <w:rFonts w:ascii="Georgia" w:hAnsi="Georgia"/>
          <w:sz w:val="20"/>
          <w:szCs w:val="20"/>
        </w:rPr>
      </w:pPr>
      <w:r w:rsidRPr="006D2AA4">
        <w:rPr>
          <w:rFonts w:ascii="Georgia" w:hAnsi="Georgia"/>
          <w:sz w:val="20"/>
          <w:szCs w:val="20"/>
        </w:rPr>
        <w:t>All investments bear the risk of loss, including the loss of principal. Past performance, actual or hypothetical, is no guarantee of future results.</w:t>
      </w:r>
    </w:p>
    <w:p w14:paraId="6CD3C7A8" w14:textId="605D813D" w:rsidR="006D2AA4" w:rsidRDefault="006D2AA4" w:rsidP="006D2AA4">
      <w:pPr>
        <w:spacing w:line="360" w:lineRule="auto"/>
        <w:ind w:left="-288"/>
        <w:rPr>
          <w:rFonts w:ascii="Georgia" w:hAnsi="Georgia"/>
          <w:sz w:val="20"/>
          <w:szCs w:val="20"/>
        </w:rPr>
      </w:pPr>
      <w:r w:rsidRPr="006D2AA4">
        <w:rPr>
          <w:rFonts w:ascii="Georgia" w:hAnsi="Georgia"/>
          <w:sz w:val="20"/>
          <w:szCs w:val="20"/>
        </w:rPr>
        <w:lastRenderedPageBreak/>
        <w:t>The hypothetical annual Fiducient Advisors' fee is divided by 12 and subtracted from the historical monthly (index) returns. The hypothetical excess return assumption is divided by 12 and added to the historical monthly (index) returns.  Furthermore, for forecasted total portfolio (index-based) annual returns based on capital market assumptions, the annual Fiducient Advisors' fee assumption is subtracted from the hypothetical annual manager excess return assumption. Additional information on advisory fees charged by Fiducient Advisors are described in Part 2 of the Form ADV.</w:t>
      </w:r>
    </w:p>
    <w:p w14:paraId="36B8A27C" w14:textId="79BF4998" w:rsidR="00492C15" w:rsidRDefault="0014274E" w:rsidP="006D2AA4">
      <w:pPr>
        <w:spacing w:line="360" w:lineRule="auto"/>
        <w:ind w:left="-288"/>
        <w:rPr>
          <w:rFonts w:ascii="Georgia" w:hAnsi="Georgia"/>
          <w:sz w:val="20"/>
          <w:szCs w:val="20"/>
        </w:rPr>
      </w:pPr>
      <w:r w:rsidRPr="006D2AA4">
        <w:rPr>
          <w:rFonts w:ascii="Georgia" w:hAnsi="Georgia"/>
          <w:sz w:val="20"/>
          <w:szCs w:val="20"/>
        </w:rPr>
        <w:t xml:space="preserve"> </w:t>
      </w:r>
    </w:p>
    <w:p w14:paraId="1403A68D" w14:textId="77777777" w:rsidR="00CC07A7" w:rsidRDefault="00CC07A7" w:rsidP="006D2AA4">
      <w:pPr>
        <w:spacing w:line="360" w:lineRule="auto"/>
        <w:ind w:left="-288"/>
        <w:rPr>
          <w:rFonts w:ascii="Georgia" w:hAnsi="Georgia"/>
          <w:sz w:val="20"/>
          <w:szCs w:val="20"/>
        </w:rPr>
      </w:pPr>
    </w:p>
    <w:p w14:paraId="414EBC6E" w14:textId="77777777" w:rsidR="00CC07A7" w:rsidRDefault="00CC07A7" w:rsidP="006D2AA4">
      <w:pPr>
        <w:spacing w:line="360" w:lineRule="auto"/>
        <w:ind w:left="-288"/>
        <w:rPr>
          <w:rFonts w:ascii="Georgia" w:hAnsi="Georgia"/>
          <w:sz w:val="20"/>
          <w:szCs w:val="20"/>
        </w:rPr>
      </w:pPr>
    </w:p>
    <w:p w14:paraId="7851A6B2" w14:textId="77777777" w:rsidR="00CC07A7" w:rsidRDefault="00CC07A7" w:rsidP="006D2AA4">
      <w:pPr>
        <w:spacing w:line="360" w:lineRule="auto"/>
        <w:ind w:left="-288"/>
        <w:rPr>
          <w:rFonts w:ascii="Georgia" w:hAnsi="Georgia"/>
          <w:sz w:val="20"/>
          <w:szCs w:val="20"/>
        </w:rPr>
      </w:pPr>
    </w:p>
    <w:p w14:paraId="76EE1B33" w14:textId="77777777" w:rsidR="00CC07A7" w:rsidRDefault="00CC07A7" w:rsidP="006D2AA4">
      <w:pPr>
        <w:spacing w:line="360" w:lineRule="auto"/>
        <w:ind w:left="-288"/>
        <w:rPr>
          <w:rFonts w:ascii="Georgia" w:hAnsi="Georgia"/>
          <w:sz w:val="20"/>
          <w:szCs w:val="20"/>
        </w:rPr>
      </w:pPr>
    </w:p>
    <w:p w14:paraId="531ED074" w14:textId="77777777" w:rsidR="00CC07A7" w:rsidRDefault="00CC07A7" w:rsidP="006D2AA4">
      <w:pPr>
        <w:spacing w:line="360" w:lineRule="auto"/>
        <w:ind w:left="-288"/>
        <w:rPr>
          <w:rFonts w:ascii="Georgia" w:hAnsi="Georgia"/>
          <w:sz w:val="20"/>
          <w:szCs w:val="20"/>
        </w:rPr>
      </w:pPr>
    </w:p>
    <w:p w14:paraId="26B97673" w14:textId="77777777" w:rsidR="00CC07A7" w:rsidRDefault="00CC07A7" w:rsidP="006D2AA4">
      <w:pPr>
        <w:spacing w:line="360" w:lineRule="auto"/>
        <w:ind w:left="-288"/>
        <w:rPr>
          <w:rFonts w:ascii="Georgia" w:hAnsi="Georgia"/>
          <w:sz w:val="20"/>
          <w:szCs w:val="20"/>
        </w:rPr>
      </w:pPr>
    </w:p>
    <w:p w14:paraId="474E0434" w14:textId="77777777" w:rsidR="00CC07A7" w:rsidRDefault="00CC07A7" w:rsidP="006D2AA4">
      <w:pPr>
        <w:spacing w:line="360" w:lineRule="auto"/>
        <w:ind w:left="-288"/>
        <w:rPr>
          <w:rFonts w:ascii="Georgia" w:hAnsi="Georgia"/>
          <w:sz w:val="20"/>
          <w:szCs w:val="20"/>
        </w:rPr>
      </w:pPr>
    </w:p>
    <w:p w14:paraId="134F6E72" w14:textId="77777777" w:rsidR="00CC07A7" w:rsidRDefault="00CC07A7" w:rsidP="006D2AA4">
      <w:pPr>
        <w:spacing w:line="360" w:lineRule="auto"/>
        <w:ind w:left="-288"/>
        <w:rPr>
          <w:rFonts w:ascii="Georgia" w:hAnsi="Georgia"/>
          <w:sz w:val="20"/>
          <w:szCs w:val="20"/>
        </w:rPr>
      </w:pPr>
    </w:p>
    <w:p w14:paraId="4063A114" w14:textId="77777777" w:rsidR="00CC07A7" w:rsidRDefault="00CC07A7" w:rsidP="006D2AA4">
      <w:pPr>
        <w:spacing w:line="360" w:lineRule="auto"/>
        <w:ind w:left="-288"/>
        <w:rPr>
          <w:rFonts w:ascii="Georgia" w:hAnsi="Georgia"/>
          <w:sz w:val="20"/>
          <w:szCs w:val="20"/>
        </w:rPr>
      </w:pPr>
    </w:p>
    <w:p w14:paraId="0402884A" w14:textId="77777777" w:rsidR="00CC07A7" w:rsidRDefault="00CC07A7" w:rsidP="006D2AA4">
      <w:pPr>
        <w:spacing w:line="360" w:lineRule="auto"/>
        <w:ind w:left="-288"/>
        <w:rPr>
          <w:rFonts w:ascii="Georgia" w:hAnsi="Georgia"/>
          <w:sz w:val="20"/>
          <w:szCs w:val="20"/>
        </w:rPr>
      </w:pPr>
    </w:p>
    <w:p w14:paraId="74F4FE0D" w14:textId="77777777" w:rsidR="00CC07A7" w:rsidRDefault="00CC07A7" w:rsidP="006D2AA4">
      <w:pPr>
        <w:spacing w:line="360" w:lineRule="auto"/>
        <w:ind w:left="-288"/>
        <w:rPr>
          <w:rFonts w:ascii="Georgia" w:hAnsi="Georgia"/>
          <w:sz w:val="20"/>
          <w:szCs w:val="20"/>
        </w:rPr>
      </w:pPr>
    </w:p>
    <w:p w14:paraId="5BD38035" w14:textId="77777777" w:rsidR="00CC07A7" w:rsidRDefault="00CC07A7" w:rsidP="006D2AA4">
      <w:pPr>
        <w:spacing w:line="360" w:lineRule="auto"/>
        <w:ind w:left="-288"/>
        <w:rPr>
          <w:rFonts w:ascii="Georgia" w:hAnsi="Georgia"/>
          <w:sz w:val="20"/>
          <w:szCs w:val="20"/>
        </w:rPr>
      </w:pPr>
    </w:p>
    <w:p w14:paraId="48C24D33" w14:textId="77777777" w:rsidR="00CC07A7" w:rsidRDefault="00CC07A7" w:rsidP="006D2AA4">
      <w:pPr>
        <w:spacing w:line="360" w:lineRule="auto"/>
        <w:ind w:left="-288"/>
        <w:rPr>
          <w:rFonts w:ascii="Georgia" w:hAnsi="Georgia"/>
          <w:sz w:val="20"/>
          <w:szCs w:val="20"/>
        </w:rPr>
      </w:pPr>
    </w:p>
    <w:p w14:paraId="002FBF47" w14:textId="77777777" w:rsidR="00CC07A7" w:rsidRDefault="00CC07A7" w:rsidP="006D2AA4">
      <w:pPr>
        <w:spacing w:line="360" w:lineRule="auto"/>
        <w:ind w:left="-288"/>
        <w:rPr>
          <w:rFonts w:ascii="Georgia" w:hAnsi="Georgia"/>
          <w:sz w:val="20"/>
          <w:szCs w:val="20"/>
        </w:rPr>
      </w:pPr>
    </w:p>
    <w:p w14:paraId="4DCE13D4" w14:textId="77777777" w:rsidR="00CC07A7" w:rsidRDefault="00CC07A7" w:rsidP="006D2AA4">
      <w:pPr>
        <w:spacing w:line="360" w:lineRule="auto"/>
        <w:ind w:left="-288"/>
        <w:rPr>
          <w:rFonts w:ascii="Georgia" w:hAnsi="Georgia"/>
          <w:sz w:val="20"/>
          <w:szCs w:val="20"/>
        </w:rPr>
      </w:pPr>
    </w:p>
    <w:p w14:paraId="02D5E6C9" w14:textId="77777777" w:rsidR="00CC07A7" w:rsidRDefault="00CC07A7" w:rsidP="006D2AA4">
      <w:pPr>
        <w:spacing w:line="360" w:lineRule="auto"/>
        <w:ind w:left="-288"/>
        <w:rPr>
          <w:rFonts w:ascii="Georgia" w:hAnsi="Georgia"/>
          <w:sz w:val="20"/>
          <w:szCs w:val="20"/>
        </w:rPr>
      </w:pPr>
    </w:p>
    <w:p w14:paraId="129145B6" w14:textId="77777777" w:rsidR="00CC07A7" w:rsidRDefault="00CC07A7" w:rsidP="006D2AA4">
      <w:pPr>
        <w:spacing w:line="360" w:lineRule="auto"/>
        <w:ind w:left="-288"/>
        <w:rPr>
          <w:rFonts w:ascii="Georgia" w:hAnsi="Georgia"/>
          <w:sz w:val="20"/>
          <w:szCs w:val="20"/>
        </w:rPr>
      </w:pPr>
    </w:p>
    <w:p w14:paraId="3953FBB9" w14:textId="77777777" w:rsidR="00CC07A7" w:rsidRDefault="00CC07A7" w:rsidP="006D2AA4">
      <w:pPr>
        <w:spacing w:line="360" w:lineRule="auto"/>
        <w:ind w:left="-288"/>
        <w:rPr>
          <w:rFonts w:ascii="Georgia" w:hAnsi="Georgia"/>
          <w:sz w:val="20"/>
          <w:szCs w:val="20"/>
        </w:rPr>
      </w:pPr>
    </w:p>
    <w:p w14:paraId="476FB16F" w14:textId="77777777" w:rsidR="00CC07A7" w:rsidRDefault="00CC07A7" w:rsidP="006D2AA4">
      <w:pPr>
        <w:spacing w:line="360" w:lineRule="auto"/>
        <w:ind w:left="-288"/>
        <w:rPr>
          <w:rFonts w:ascii="Georgia" w:hAnsi="Georgia"/>
          <w:sz w:val="20"/>
          <w:szCs w:val="20"/>
        </w:rPr>
      </w:pPr>
    </w:p>
    <w:p w14:paraId="737E602C" w14:textId="77777777" w:rsidR="00CC07A7" w:rsidRDefault="00CC07A7" w:rsidP="006D2AA4">
      <w:pPr>
        <w:spacing w:line="360" w:lineRule="auto"/>
        <w:ind w:left="-288"/>
        <w:rPr>
          <w:rFonts w:ascii="Georgia" w:hAnsi="Georgia"/>
          <w:sz w:val="20"/>
          <w:szCs w:val="20"/>
        </w:rPr>
      </w:pPr>
    </w:p>
    <w:p w14:paraId="7493BE7D" w14:textId="77777777" w:rsidR="00CC07A7" w:rsidRDefault="00CC07A7" w:rsidP="006D2AA4">
      <w:pPr>
        <w:spacing w:line="360" w:lineRule="auto"/>
        <w:ind w:left="-288"/>
        <w:rPr>
          <w:rFonts w:ascii="Georgia" w:hAnsi="Georgia"/>
          <w:sz w:val="20"/>
          <w:szCs w:val="20"/>
        </w:rPr>
      </w:pPr>
    </w:p>
    <w:p w14:paraId="08EA1367" w14:textId="77777777" w:rsidR="00CC07A7" w:rsidRDefault="00CC07A7" w:rsidP="006D2AA4">
      <w:pPr>
        <w:spacing w:line="360" w:lineRule="auto"/>
        <w:ind w:left="-288"/>
        <w:rPr>
          <w:rFonts w:ascii="Georgia" w:hAnsi="Georgia"/>
          <w:sz w:val="20"/>
          <w:szCs w:val="20"/>
        </w:rPr>
      </w:pPr>
    </w:p>
    <w:p w14:paraId="200C734D" w14:textId="77777777" w:rsidR="00CC07A7" w:rsidRDefault="00CC07A7" w:rsidP="006D2AA4">
      <w:pPr>
        <w:spacing w:line="360" w:lineRule="auto"/>
        <w:ind w:left="-288"/>
        <w:rPr>
          <w:rFonts w:ascii="Georgia" w:hAnsi="Georgia"/>
          <w:sz w:val="20"/>
          <w:szCs w:val="20"/>
        </w:rPr>
      </w:pPr>
    </w:p>
    <w:p w14:paraId="38E02550" w14:textId="77777777" w:rsidR="00CC07A7" w:rsidRDefault="00CC07A7" w:rsidP="006D2AA4">
      <w:pPr>
        <w:spacing w:line="360" w:lineRule="auto"/>
        <w:ind w:left="-288"/>
        <w:rPr>
          <w:rFonts w:ascii="Georgia" w:hAnsi="Georgia"/>
          <w:sz w:val="20"/>
          <w:szCs w:val="20"/>
        </w:rPr>
      </w:pPr>
    </w:p>
    <w:p w14:paraId="617DD822" w14:textId="77777777" w:rsidR="00CC07A7" w:rsidRDefault="00CC07A7" w:rsidP="006D2AA4">
      <w:pPr>
        <w:spacing w:line="360" w:lineRule="auto"/>
        <w:ind w:left="-288"/>
        <w:rPr>
          <w:rFonts w:ascii="Georgia" w:hAnsi="Georgia"/>
          <w:sz w:val="20"/>
          <w:szCs w:val="20"/>
        </w:rPr>
      </w:pPr>
    </w:p>
    <w:p w14:paraId="367E0EF7" w14:textId="77777777" w:rsidR="00CC07A7" w:rsidRDefault="00CC07A7" w:rsidP="006D2AA4">
      <w:pPr>
        <w:spacing w:line="360" w:lineRule="auto"/>
        <w:ind w:left="-288"/>
        <w:rPr>
          <w:rFonts w:ascii="Georgia" w:hAnsi="Georgia"/>
          <w:sz w:val="20"/>
          <w:szCs w:val="20"/>
        </w:rPr>
      </w:pPr>
    </w:p>
    <w:p w14:paraId="2DB92115" w14:textId="77777777" w:rsidR="00CC07A7" w:rsidRDefault="00CC07A7" w:rsidP="006D2AA4">
      <w:pPr>
        <w:spacing w:line="360" w:lineRule="auto"/>
        <w:ind w:left="-288"/>
        <w:rPr>
          <w:rFonts w:ascii="Georgia" w:hAnsi="Georgia"/>
          <w:sz w:val="20"/>
          <w:szCs w:val="20"/>
        </w:rPr>
      </w:pPr>
    </w:p>
    <w:p w14:paraId="032431E6" w14:textId="77777777" w:rsidR="00CC07A7" w:rsidRDefault="00CC07A7" w:rsidP="006D2AA4">
      <w:pPr>
        <w:spacing w:line="360" w:lineRule="auto"/>
        <w:ind w:left="-288"/>
        <w:rPr>
          <w:rFonts w:ascii="Georgia" w:hAnsi="Georgia"/>
          <w:sz w:val="20"/>
          <w:szCs w:val="20"/>
        </w:rPr>
      </w:pPr>
    </w:p>
    <w:p w14:paraId="3471124D" w14:textId="77777777" w:rsidR="002579C2" w:rsidRPr="002579C2" w:rsidRDefault="003E73C1" w:rsidP="002579C2">
      <w:pPr>
        <w:spacing w:line="360" w:lineRule="auto"/>
        <w:ind w:left="-288"/>
        <w:rPr>
          <w:rFonts w:ascii="Georgia" w:hAnsi="Georgia"/>
          <w:sz w:val="20"/>
          <w:szCs w:val="20"/>
        </w:rPr>
      </w:pPr>
      <w:r w:rsidRPr="003E73C1">
        <w:rPr>
          <w:rFonts w:ascii="Georgia" w:hAnsi="Georgia"/>
          <w:b/>
          <w:bCs/>
          <w:color w:val="009CDE"/>
          <w:sz w:val="28"/>
          <w:szCs w:val="36"/>
        </w:rPr>
        <w:lastRenderedPageBreak/>
        <w:t>Appendix 9: Index Definitions</w:t>
      </w:r>
      <w:r w:rsidR="006D2AA4">
        <w:rPr>
          <w:rFonts w:ascii="Georgia" w:hAnsi="Georgia"/>
          <w:b/>
          <w:bCs/>
          <w:color w:val="ED7D31" w:themeColor="accent2"/>
          <w:sz w:val="28"/>
          <w:szCs w:val="36"/>
        </w:rPr>
        <w:br/>
      </w:r>
      <w:r w:rsidR="002579C2" w:rsidRPr="00860EAF">
        <w:rPr>
          <w:rFonts w:ascii="Georgia" w:hAnsi="Georgia"/>
          <w:b/>
          <w:bCs/>
          <w:sz w:val="20"/>
          <w:szCs w:val="20"/>
        </w:rPr>
        <w:t>FTSE Treasury Bill 3 Month</w:t>
      </w:r>
      <w:r w:rsidR="002579C2" w:rsidRPr="002579C2">
        <w:rPr>
          <w:rFonts w:ascii="Georgia" w:hAnsi="Georgia"/>
          <w:sz w:val="20"/>
          <w:szCs w:val="20"/>
        </w:rPr>
        <w:t xml:space="preserve"> measures return equivalents of yield averages and are not marked to market. It is an average of the last three three-month Treasury bill month-end rates.</w:t>
      </w:r>
    </w:p>
    <w:p w14:paraId="70D7E02C" w14:textId="77777777" w:rsidR="002579C2" w:rsidRPr="002579C2" w:rsidRDefault="002579C2" w:rsidP="002579C2">
      <w:pPr>
        <w:spacing w:line="360" w:lineRule="auto"/>
        <w:ind w:left="-288"/>
        <w:rPr>
          <w:rFonts w:ascii="Georgia" w:hAnsi="Georgia"/>
          <w:sz w:val="20"/>
          <w:szCs w:val="20"/>
        </w:rPr>
      </w:pPr>
      <w:r w:rsidRPr="00860EAF">
        <w:rPr>
          <w:rFonts w:ascii="Georgia" w:hAnsi="Georgia"/>
          <w:b/>
          <w:bCs/>
          <w:sz w:val="20"/>
          <w:szCs w:val="20"/>
        </w:rPr>
        <w:t>Bloomberg Capital US Treasury Inflation Protected Securities Index</w:t>
      </w:r>
      <w:r w:rsidRPr="002579C2">
        <w:rPr>
          <w:rFonts w:ascii="Georgia" w:hAnsi="Georgia"/>
          <w:sz w:val="20"/>
          <w:szCs w:val="20"/>
        </w:rPr>
        <w:t xml:space="preserve"> consists of Inflation-Protection securities issued by the U.S. Treasury.</w:t>
      </w:r>
    </w:p>
    <w:p w14:paraId="24BFEDC6" w14:textId="77777777" w:rsidR="002579C2" w:rsidRPr="002579C2" w:rsidRDefault="002579C2" w:rsidP="002579C2">
      <w:pPr>
        <w:spacing w:line="360" w:lineRule="auto"/>
        <w:ind w:left="-288"/>
        <w:rPr>
          <w:rFonts w:ascii="Georgia" w:hAnsi="Georgia"/>
          <w:sz w:val="20"/>
          <w:szCs w:val="20"/>
        </w:rPr>
      </w:pPr>
      <w:r w:rsidRPr="00860EAF">
        <w:rPr>
          <w:rFonts w:ascii="Georgia" w:hAnsi="Georgia"/>
          <w:b/>
          <w:bCs/>
          <w:sz w:val="20"/>
          <w:szCs w:val="20"/>
        </w:rPr>
        <w:t>Bloomberg Muni 5 Year Index is the 5 year (4-6)</w:t>
      </w:r>
      <w:r w:rsidRPr="002579C2">
        <w:rPr>
          <w:rFonts w:ascii="Georgia" w:hAnsi="Georgia"/>
          <w:sz w:val="20"/>
          <w:szCs w:val="20"/>
        </w:rPr>
        <w:t xml:space="preserve"> component of the Municipal Bond index.</w:t>
      </w:r>
    </w:p>
    <w:p w14:paraId="72118D15" w14:textId="77777777" w:rsidR="002579C2" w:rsidRPr="002579C2" w:rsidRDefault="002579C2" w:rsidP="002579C2">
      <w:pPr>
        <w:spacing w:line="360" w:lineRule="auto"/>
        <w:ind w:left="-288"/>
        <w:rPr>
          <w:rFonts w:ascii="Georgia" w:hAnsi="Georgia"/>
          <w:sz w:val="20"/>
          <w:szCs w:val="20"/>
        </w:rPr>
      </w:pPr>
      <w:r w:rsidRPr="00860EAF">
        <w:rPr>
          <w:rFonts w:ascii="Georgia" w:hAnsi="Georgia"/>
          <w:b/>
          <w:bCs/>
          <w:sz w:val="20"/>
          <w:szCs w:val="20"/>
        </w:rPr>
        <w:t>Bloomberg High Yield Municipal Bond Index</w:t>
      </w:r>
      <w:r w:rsidRPr="002579C2">
        <w:rPr>
          <w:rFonts w:ascii="Georgia" w:hAnsi="Georgia"/>
          <w:sz w:val="20"/>
          <w:szCs w:val="20"/>
        </w:rPr>
        <w:t xml:space="preserve"> covers the universe of fixed rate, non-investment grade debt.</w:t>
      </w:r>
    </w:p>
    <w:p w14:paraId="265E5BC3" w14:textId="77777777" w:rsidR="002579C2" w:rsidRPr="002579C2" w:rsidRDefault="002579C2" w:rsidP="002579C2">
      <w:pPr>
        <w:spacing w:line="360" w:lineRule="auto"/>
        <w:ind w:left="-288"/>
        <w:rPr>
          <w:rFonts w:ascii="Georgia" w:hAnsi="Georgia"/>
          <w:sz w:val="20"/>
          <w:szCs w:val="20"/>
        </w:rPr>
      </w:pPr>
      <w:r w:rsidRPr="00860EAF">
        <w:rPr>
          <w:rFonts w:ascii="Georgia" w:hAnsi="Georgia"/>
          <w:b/>
          <w:bCs/>
          <w:sz w:val="20"/>
          <w:szCs w:val="20"/>
        </w:rPr>
        <w:t>Bloomberg U.S. Aggregate Index</w:t>
      </w:r>
      <w:r w:rsidRPr="002579C2">
        <w:rPr>
          <w:rFonts w:ascii="Georgia" w:hAnsi="Georgia"/>
          <w:sz w:val="20"/>
          <w:szCs w:val="20"/>
        </w:rPr>
        <w:t xml:space="preserve"> covers the U.S. investment grade fixed rate bond market, with index components for government and corporate securities, mortgage pass-through securities, and asset-backed securities.</w:t>
      </w:r>
    </w:p>
    <w:p w14:paraId="0CF30882" w14:textId="77777777" w:rsidR="002579C2" w:rsidRPr="002579C2" w:rsidRDefault="002579C2" w:rsidP="002579C2">
      <w:pPr>
        <w:spacing w:line="360" w:lineRule="auto"/>
        <w:ind w:left="-288"/>
        <w:rPr>
          <w:rFonts w:ascii="Georgia" w:hAnsi="Georgia"/>
          <w:sz w:val="20"/>
          <w:szCs w:val="20"/>
        </w:rPr>
      </w:pPr>
      <w:r w:rsidRPr="00860EAF">
        <w:rPr>
          <w:rFonts w:ascii="Georgia" w:hAnsi="Georgia"/>
          <w:b/>
          <w:bCs/>
          <w:sz w:val="20"/>
          <w:szCs w:val="20"/>
        </w:rPr>
        <w:t>Bloomberg US Government/Credit Long Index</w:t>
      </w:r>
      <w:r w:rsidRPr="002579C2">
        <w:rPr>
          <w:rFonts w:ascii="Georgia" w:hAnsi="Georgia"/>
          <w:sz w:val="20"/>
          <w:szCs w:val="20"/>
        </w:rPr>
        <w:t xml:space="preserve"> is the Long component of the U.S. Government/Credit Index, which includes securities in the Government and Credit Indices. The Government Index includes treasuries and agencies, while the credit index includes publicly issued U.S. corporate and foreign debentures and secured notes that meet specified maturity, liquidity and quality requirements.</w:t>
      </w:r>
    </w:p>
    <w:p w14:paraId="629A0D56" w14:textId="77777777" w:rsidR="002579C2" w:rsidRPr="002579C2" w:rsidRDefault="002579C2" w:rsidP="002579C2">
      <w:pPr>
        <w:spacing w:line="360" w:lineRule="auto"/>
        <w:ind w:left="-288"/>
        <w:rPr>
          <w:rFonts w:ascii="Georgia" w:hAnsi="Georgia"/>
          <w:sz w:val="20"/>
          <w:szCs w:val="20"/>
        </w:rPr>
      </w:pPr>
      <w:r w:rsidRPr="00860EAF">
        <w:rPr>
          <w:rFonts w:ascii="Georgia" w:hAnsi="Georgia"/>
          <w:b/>
          <w:bCs/>
          <w:sz w:val="20"/>
          <w:szCs w:val="20"/>
        </w:rPr>
        <w:t>Bloomberg Global Aggregate Bond Index</w:t>
      </w:r>
      <w:r w:rsidRPr="002579C2">
        <w:rPr>
          <w:rFonts w:ascii="Georgia" w:hAnsi="Georgia"/>
          <w:sz w:val="20"/>
          <w:szCs w:val="20"/>
        </w:rPr>
        <w:t xml:space="preserve"> measures the performance of global investment grade debt from 24 local currency markets. It is a multi-currency benchmark that includes treasury, government-related, corporate and securitized fixed-rate bonds from both developed and emerging markets issuers. It is a market-value weighted index.</w:t>
      </w:r>
    </w:p>
    <w:p w14:paraId="4AFE793A" w14:textId="77777777" w:rsidR="002579C2" w:rsidRPr="002579C2" w:rsidRDefault="002579C2" w:rsidP="002579C2">
      <w:pPr>
        <w:spacing w:line="360" w:lineRule="auto"/>
        <w:ind w:left="-288"/>
        <w:rPr>
          <w:rFonts w:ascii="Georgia" w:hAnsi="Georgia"/>
          <w:sz w:val="20"/>
          <w:szCs w:val="20"/>
        </w:rPr>
      </w:pPr>
      <w:r w:rsidRPr="00860EAF">
        <w:rPr>
          <w:rFonts w:ascii="Georgia" w:hAnsi="Georgia"/>
          <w:b/>
          <w:bCs/>
          <w:sz w:val="20"/>
          <w:szCs w:val="20"/>
        </w:rPr>
        <w:t>FTSE World Government Bond Index (WGBI) (Unhedged)</w:t>
      </w:r>
      <w:r w:rsidRPr="002579C2">
        <w:rPr>
          <w:rFonts w:ascii="Georgia" w:hAnsi="Georgia"/>
          <w:sz w:val="20"/>
          <w:szCs w:val="20"/>
        </w:rPr>
        <w:t xml:space="preserve"> provides a broad benchmark for the global sovereign fixed income market by measuring the performance of fixed-rate, local currency, investment-grade sovereign debt from over 20 countries, </w:t>
      </w:r>
    </w:p>
    <w:p w14:paraId="1F7D8FDF" w14:textId="77777777" w:rsidR="002579C2" w:rsidRPr="002579C2" w:rsidRDefault="002579C2" w:rsidP="002579C2">
      <w:pPr>
        <w:spacing w:line="360" w:lineRule="auto"/>
        <w:ind w:left="-288"/>
        <w:rPr>
          <w:rFonts w:ascii="Georgia" w:hAnsi="Georgia"/>
          <w:sz w:val="20"/>
          <w:szCs w:val="20"/>
        </w:rPr>
      </w:pPr>
      <w:r w:rsidRPr="00860EAF">
        <w:rPr>
          <w:rFonts w:ascii="Georgia" w:hAnsi="Georgia"/>
          <w:b/>
          <w:bCs/>
          <w:sz w:val="20"/>
          <w:szCs w:val="20"/>
        </w:rPr>
        <w:t>FTSE World Government Bond Index (WGBI) (Hedged)</w:t>
      </w:r>
      <w:r w:rsidRPr="002579C2">
        <w:rPr>
          <w:rFonts w:ascii="Georgia" w:hAnsi="Georgia"/>
          <w:sz w:val="20"/>
          <w:szCs w:val="20"/>
        </w:rPr>
        <w:t xml:space="preserve"> is designed to represent the FTSE WGBI without the impact of local currency exchange rate fluctuations. </w:t>
      </w:r>
    </w:p>
    <w:p w14:paraId="2F0523C5" w14:textId="77777777" w:rsidR="002579C2" w:rsidRPr="002579C2" w:rsidRDefault="002579C2" w:rsidP="002579C2">
      <w:pPr>
        <w:spacing w:line="360" w:lineRule="auto"/>
        <w:ind w:left="-288"/>
        <w:rPr>
          <w:rFonts w:ascii="Georgia" w:hAnsi="Georgia"/>
          <w:sz w:val="20"/>
          <w:szCs w:val="20"/>
        </w:rPr>
      </w:pPr>
      <w:r w:rsidRPr="00860EAF">
        <w:rPr>
          <w:rFonts w:ascii="Georgia" w:hAnsi="Georgia"/>
          <w:b/>
          <w:bCs/>
          <w:sz w:val="20"/>
          <w:szCs w:val="20"/>
        </w:rPr>
        <w:t>The FTSE World Government Bond Index (WGBI) ex US</w:t>
      </w:r>
      <w:r w:rsidRPr="002579C2">
        <w:rPr>
          <w:rFonts w:ascii="Georgia" w:hAnsi="Georgia"/>
          <w:sz w:val="20"/>
          <w:szCs w:val="20"/>
        </w:rPr>
        <w:t xml:space="preserve"> – measures the performance of fixed-rate, local currency, investment-grade sovereign bonds in the FTSE World Government Bond Index excluding the United States.</w:t>
      </w:r>
    </w:p>
    <w:p w14:paraId="733A1A86" w14:textId="77777777" w:rsidR="002579C2" w:rsidRPr="002579C2" w:rsidRDefault="002579C2" w:rsidP="002579C2">
      <w:pPr>
        <w:spacing w:line="360" w:lineRule="auto"/>
        <w:ind w:left="-288"/>
        <w:rPr>
          <w:rFonts w:ascii="Georgia" w:hAnsi="Georgia"/>
          <w:sz w:val="20"/>
          <w:szCs w:val="20"/>
        </w:rPr>
      </w:pPr>
      <w:r w:rsidRPr="00860EAF">
        <w:rPr>
          <w:rFonts w:ascii="Georgia" w:hAnsi="Georgia"/>
          <w:b/>
          <w:bCs/>
          <w:sz w:val="20"/>
          <w:szCs w:val="20"/>
        </w:rPr>
        <w:t>Bloomberg US Corporate High Yield USD</w:t>
      </w:r>
      <w:r w:rsidRPr="002579C2">
        <w:rPr>
          <w:rFonts w:ascii="Georgia" w:hAnsi="Georgia"/>
          <w:sz w:val="20"/>
          <w:szCs w:val="20"/>
        </w:rPr>
        <w:t xml:space="preserve"> covers the universe of fixed rate, non-investment grade debt. Eurobonds and debt issues from countries designated as emerging markets (sovereign rating of Baa1/BBB+/BBB+ and below using the middle of Moody’s, S&amp;P, and Fitch) are excluded, but Canadian and global bonds (SEC registered) of issuers in non-EMG countries are included.</w:t>
      </w:r>
    </w:p>
    <w:p w14:paraId="17187E58" w14:textId="77777777" w:rsidR="002579C2" w:rsidRPr="002579C2" w:rsidRDefault="002579C2" w:rsidP="002579C2">
      <w:pPr>
        <w:spacing w:line="360" w:lineRule="auto"/>
        <w:ind w:left="-288"/>
        <w:rPr>
          <w:rFonts w:ascii="Georgia" w:hAnsi="Georgia"/>
          <w:sz w:val="20"/>
          <w:szCs w:val="20"/>
        </w:rPr>
      </w:pPr>
      <w:r w:rsidRPr="00860EAF">
        <w:rPr>
          <w:rFonts w:ascii="Georgia" w:hAnsi="Georgia"/>
          <w:b/>
          <w:bCs/>
          <w:sz w:val="20"/>
          <w:szCs w:val="20"/>
        </w:rPr>
        <w:t>JP Morgan Government Bond Index-Emerging Market Index (GBI-EMI)</w:t>
      </w:r>
      <w:r w:rsidRPr="002579C2">
        <w:rPr>
          <w:rFonts w:ascii="Georgia" w:hAnsi="Georgia"/>
          <w:sz w:val="20"/>
          <w:szCs w:val="20"/>
        </w:rPr>
        <w:t xml:space="preserve"> is a comprehensive, global local emerging markets index, and consists of regularly traded, liquid fixed-rate, domestic currency government bonds to which international investors can gain exposure.</w:t>
      </w:r>
    </w:p>
    <w:p w14:paraId="21B3AC98" w14:textId="77777777" w:rsidR="002579C2" w:rsidRPr="002579C2" w:rsidRDefault="002579C2" w:rsidP="002579C2">
      <w:pPr>
        <w:spacing w:line="360" w:lineRule="auto"/>
        <w:ind w:left="-288"/>
        <w:rPr>
          <w:rFonts w:ascii="Georgia" w:hAnsi="Georgia"/>
          <w:sz w:val="20"/>
          <w:szCs w:val="20"/>
        </w:rPr>
      </w:pPr>
      <w:r w:rsidRPr="00860EAF">
        <w:rPr>
          <w:rFonts w:ascii="Georgia" w:hAnsi="Georgia"/>
          <w:b/>
          <w:bCs/>
          <w:sz w:val="20"/>
          <w:szCs w:val="20"/>
        </w:rPr>
        <w:t>JPMorgan EMBI Global Diversified</w:t>
      </w:r>
      <w:r w:rsidRPr="002579C2">
        <w:rPr>
          <w:rFonts w:ascii="Georgia" w:hAnsi="Georgia"/>
          <w:sz w:val="20"/>
          <w:szCs w:val="20"/>
        </w:rPr>
        <w:t xml:space="preserve"> is an unmanaged, market-capitalization weighted, total-return index tracking the traded market for U.S.-dollar-denominated Brady bonds, Eurobonds, traded loans, and local market debt instruments issued by sovereign and quasi-sovereign entities.</w:t>
      </w:r>
    </w:p>
    <w:p w14:paraId="04F106A8" w14:textId="77777777" w:rsidR="002579C2" w:rsidRPr="002579C2" w:rsidRDefault="002579C2" w:rsidP="002579C2">
      <w:pPr>
        <w:spacing w:line="360" w:lineRule="auto"/>
        <w:ind w:left="-288"/>
        <w:rPr>
          <w:rFonts w:ascii="Georgia" w:hAnsi="Georgia"/>
          <w:sz w:val="20"/>
          <w:szCs w:val="20"/>
        </w:rPr>
      </w:pPr>
      <w:r w:rsidRPr="00860EAF">
        <w:rPr>
          <w:rFonts w:ascii="Georgia" w:hAnsi="Georgia"/>
          <w:b/>
          <w:bCs/>
          <w:sz w:val="20"/>
          <w:szCs w:val="20"/>
        </w:rPr>
        <w:lastRenderedPageBreak/>
        <w:t>MSCI ACWI</w:t>
      </w:r>
      <w:r w:rsidRPr="002579C2">
        <w:rPr>
          <w:rFonts w:ascii="Georgia" w:hAnsi="Georgia"/>
          <w:sz w:val="20"/>
          <w:szCs w:val="20"/>
        </w:rPr>
        <w:t xml:space="preserve"> is designed to represent performance of the full opportunity set of large- and mid-cap stocks across multiple developed and emerging markets, including cross-market tax incentives.</w:t>
      </w:r>
    </w:p>
    <w:p w14:paraId="2D9920CA" w14:textId="77777777" w:rsidR="002579C2" w:rsidRPr="002579C2" w:rsidRDefault="002579C2" w:rsidP="002579C2">
      <w:pPr>
        <w:spacing w:line="360" w:lineRule="auto"/>
        <w:ind w:left="-288"/>
        <w:rPr>
          <w:rFonts w:ascii="Georgia" w:hAnsi="Georgia"/>
          <w:sz w:val="20"/>
          <w:szCs w:val="20"/>
        </w:rPr>
      </w:pPr>
      <w:r w:rsidRPr="00860EAF">
        <w:rPr>
          <w:rFonts w:ascii="Georgia" w:hAnsi="Georgia"/>
          <w:b/>
          <w:bCs/>
          <w:sz w:val="20"/>
          <w:szCs w:val="20"/>
        </w:rPr>
        <w:t>The S&amp;P 500</w:t>
      </w:r>
      <w:r w:rsidRPr="002579C2">
        <w:rPr>
          <w:rFonts w:ascii="Georgia" w:hAnsi="Georgia"/>
          <w:sz w:val="20"/>
          <w:szCs w:val="20"/>
        </w:rPr>
        <w:t xml:space="preserve"> is a capitalization-weighted index designed to measure performance of the broad domestic economy through changes in the aggregate market value of 500 stocks representing all major industries.</w:t>
      </w:r>
    </w:p>
    <w:p w14:paraId="668BC357" w14:textId="77777777" w:rsidR="002579C2" w:rsidRPr="002579C2" w:rsidRDefault="002579C2" w:rsidP="002579C2">
      <w:pPr>
        <w:spacing w:line="360" w:lineRule="auto"/>
        <w:ind w:left="-288"/>
        <w:rPr>
          <w:rFonts w:ascii="Georgia" w:hAnsi="Georgia"/>
          <w:sz w:val="20"/>
          <w:szCs w:val="20"/>
        </w:rPr>
      </w:pPr>
      <w:r w:rsidRPr="00860EAF">
        <w:rPr>
          <w:rFonts w:ascii="Georgia" w:hAnsi="Georgia"/>
          <w:b/>
          <w:bCs/>
          <w:sz w:val="20"/>
          <w:szCs w:val="20"/>
        </w:rPr>
        <w:t>Russell 3000</w:t>
      </w:r>
      <w:r w:rsidRPr="002579C2">
        <w:rPr>
          <w:rFonts w:ascii="Georgia" w:hAnsi="Georgia"/>
          <w:sz w:val="20"/>
          <w:szCs w:val="20"/>
        </w:rPr>
        <w:t xml:space="preserve"> is a market-cap-weighted index which consists of roughly 3,000 of the largest companies in the U.S. as determined by market capitalization. It represents nearly 98% of the investable U.S. equity market.</w:t>
      </w:r>
    </w:p>
    <w:p w14:paraId="1AD1D845" w14:textId="77777777" w:rsidR="002579C2" w:rsidRPr="002579C2" w:rsidRDefault="002579C2" w:rsidP="002579C2">
      <w:pPr>
        <w:spacing w:line="360" w:lineRule="auto"/>
        <w:ind w:left="-288"/>
        <w:rPr>
          <w:rFonts w:ascii="Georgia" w:hAnsi="Georgia"/>
          <w:sz w:val="20"/>
          <w:szCs w:val="20"/>
        </w:rPr>
      </w:pPr>
      <w:r w:rsidRPr="00860EAF">
        <w:rPr>
          <w:rFonts w:ascii="Georgia" w:hAnsi="Georgia"/>
          <w:b/>
          <w:bCs/>
          <w:sz w:val="20"/>
          <w:szCs w:val="20"/>
        </w:rPr>
        <w:t>Russell Mid Cap</w:t>
      </w:r>
      <w:r w:rsidRPr="002579C2">
        <w:rPr>
          <w:rFonts w:ascii="Georgia" w:hAnsi="Georgia"/>
          <w:sz w:val="20"/>
          <w:szCs w:val="20"/>
        </w:rPr>
        <w:t xml:space="preserve"> measures the performance of the 800 smallest companies in the Russell 1000 Index.</w:t>
      </w:r>
    </w:p>
    <w:p w14:paraId="7F62859C" w14:textId="77777777" w:rsidR="002579C2" w:rsidRPr="002579C2" w:rsidRDefault="002579C2" w:rsidP="002579C2">
      <w:pPr>
        <w:spacing w:line="360" w:lineRule="auto"/>
        <w:ind w:left="-288"/>
        <w:rPr>
          <w:rFonts w:ascii="Georgia" w:hAnsi="Georgia"/>
          <w:sz w:val="20"/>
          <w:szCs w:val="20"/>
        </w:rPr>
      </w:pPr>
      <w:r w:rsidRPr="00860EAF">
        <w:rPr>
          <w:rFonts w:ascii="Georgia" w:hAnsi="Georgia"/>
          <w:b/>
          <w:bCs/>
          <w:sz w:val="20"/>
          <w:szCs w:val="20"/>
        </w:rPr>
        <w:t>Russell 2000</w:t>
      </w:r>
      <w:r w:rsidRPr="002579C2">
        <w:rPr>
          <w:rFonts w:ascii="Georgia" w:hAnsi="Georgia"/>
          <w:sz w:val="20"/>
          <w:szCs w:val="20"/>
        </w:rPr>
        <w:t xml:space="preserve"> consists of the 2,000 smallest U.S. companies in the Russell 3000 index.</w:t>
      </w:r>
    </w:p>
    <w:p w14:paraId="01ACBADF" w14:textId="77777777" w:rsidR="002579C2" w:rsidRPr="002579C2" w:rsidRDefault="002579C2" w:rsidP="002579C2">
      <w:pPr>
        <w:spacing w:line="360" w:lineRule="auto"/>
        <w:ind w:left="-288"/>
        <w:rPr>
          <w:rFonts w:ascii="Georgia" w:hAnsi="Georgia"/>
          <w:sz w:val="20"/>
          <w:szCs w:val="20"/>
        </w:rPr>
      </w:pPr>
      <w:r w:rsidRPr="00860EAF">
        <w:rPr>
          <w:rFonts w:ascii="Georgia" w:hAnsi="Georgia"/>
          <w:b/>
          <w:bCs/>
          <w:sz w:val="20"/>
          <w:szCs w:val="20"/>
        </w:rPr>
        <w:t>MSCI EAFE</w:t>
      </w:r>
      <w:r w:rsidRPr="002579C2">
        <w:rPr>
          <w:rFonts w:ascii="Georgia" w:hAnsi="Georgia"/>
          <w:sz w:val="20"/>
          <w:szCs w:val="20"/>
        </w:rPr>
        <w:t xml:space="preserve"> is an equity index which captures large and mid-cap representation across Developed Markets countries around the world, excluding the US and Canada. The index covers approximately 85% of the free float-adjusted market capitalization in each country. </w:t>
      </w:r>
    </w:p>
    <w:p w14:paraId="5A89A09A" w14:textId="77777777" w:rsidR="002579C2" w:rsidRPr="002579C2" w:rsidRDefault="002579C2" w:rsidP="002579C2">
      <w:pPr>
        <w:spacing w:line="360" w:lineRule="auto"/>
        <w:ind w:left="-288"/>
        <w:rPr>
          <w:rFonts w:ascii="Georgia" w:hAnsi="Georgia"/>
          <w:sz w:val="20"/>
          <w:szCs w:val="20"/>
        </w:rPr>
      </w:pPr>
      <w:r w:rsidRPr="00860EAF">
        <w:rPr>
          <w:rFonts w:ascii="Georgia" w:hAnsi="Georgia"/>
          <w:b/>
          <w:bCs/>
          <w:sz w:val="20"/>
          <w:szCs w:val="20"/>
        </w:rPr>
        <w:t>MSCI Emerging Markets</w:t>
      </w:r>
      <w:r w:rsidRPr="002579C2">
        <w:rPr>
          <w:rFonts w:ascii="Georgia" w:hAnsi="Georgia"/>
          <w:sz w:val="20"/>
          <w:szCs w:val="20"/>
        </w:rPr>
        <w:t xml:space="preserve"> captures large and mid-cap representation across Emerging Markets countries. The index covers approximately 85% of the free-float adjusted market capitalization in each country</w:t>
      </w:r>
    </w:p>
    <w:p w14:paraId="6CE31880" w14:textId="77777777" w:rsidR="002579C2" w:rsidRPr="002579C2" w:rsidRDefault="002579C2" w:rsidP="002579C2">
      <w:pPr>
        <w:spacing w:line="360" w:lineRule="auto"/>
        <w:ind w:left="-288"/>
        <w:rPr>
          <w:rFonts w:ascii="Georgia" w:hAnsi="Georgia"/>
          <w:sz w:val="20"/>
          <w:szCs w:val="20"/>
        </w:rPr>
      </w:pPr>
      <w:r w:rsidRPr="00860EAF">
        <w:rPr>
          <w:rFonts w:ascii="Georgia" w:hAnsi="Georgia"/>
          <w:b/>
          <w:bCs/>
          <w:sz w:val="20"/>
          <w:szCs w:val="20"/>
        </w:rPr>
        <w:t>The Wilshire US Real Estate Securities Index (Wilshire US RESI)</w:t>
      </w:r>
      <w:r w:rsidRPr="002579C2">
        <w:rPr>
          <w:rFonts w:ascii="Georgia" w:hAnsi="Georgia"/>
          <w:sz w:val="20"/>
          <w:szCs w:val="20"/>
        </w:rPr>
        <w:t xml:space="preserve"> is comprised of publicly-traded real estate equity securities and designed to offer a market-based index that is more reflective of real estate held by pension funds.</w:t>
      </w:r>
    </w:p>
    <w:p w14:paraId="5F2FCE33" w14:textId="77777777" w:rsidR="002579C2" w:rsidRPr="002579C2" w:rsidRDefault="002579C2" w:rsidP="002579C2">
      <w:pPr>
        <w:spacing w:line="360" w:lineRule="auto"/>
        <w:ind w:left="-288"/>
        <w:rPr>
          <w:rFonts w:ascii="Georgia" w:hAnsi="Georgia"/>
          <w:sz w:val="20"/>
          <w:szCs w:val="20"/>
        </w:rPr>
      </w:pPr>
      <w:r w:rsidRPr="00860EAF">
        <w:rPr>
          <w:rFonts w:ascii="Georgia" w:hAnsi="Georgia"/>
          <w:b/>
          <w:bCs/>
          <w:sz w:val="20"/>
          <w:szCs w:val="20"/>
        </w:rPr>
        <w:t>Alerian MLP Index</w:t>
      </w:r>
      <w:r w:rsidRPr="002579C2">
        <w:rPr>
          <w:rFonts w:ascii="Georgia" w:hAnsi="Georgia"/>
          <w:sz w:val="20"/>
          <w:szCs w:val="20"/>
        </w:rPr>
        <w:t xml:space="preserve"> is a float adjusted, capitalization-weighted index, whose constituents represent approximately 85% of total float-adjusted market capitalization, is disseminated real-time on a price-return basis (AMZ) and on a total-return basis.</w:t>
      </w:r>
    </w:p>
    <w:p w14:paraId="4806635A" w14:textId="77777777" w:rsidR="002579C2" w:rsidRPr="002579C2" w:rsidRDefault="002579C2" w:rsidP="002579C2">
      <w:pPr>
        <w:spacing w:line="360" w:lineRule="auto"/>
        <w:ind w:left="-288"/>
        <w:rPr>
          <w:rFonts w:ascii="Georgia" w:hAnsi="Georgia"/>
          <w:sz w:val="20"/>
          <w:szCs w:val="20"/>
        </w:rPr>
      </w:pPr>
      <w:r w:rsidRPr="00860EAF">
        <w:rPr>
          <w:rFonts w:ascii="Georgia" w:hAnsi="Georgia"/>
          <w:b/>
          <w:bCs/>
          <w:sz w:val="20"/>
          <w:szCs w:val="20"/>
        </w:rPr>
        <w:t>Bloomberg Commodity Index (BCI)</w:t>
      </w:r>
      <w:r w:rsidRPr="002579C2">
        <w:rPr>
          <w:rFonts w:ascii="Georgia" w:hAnsi="Georgia"/>
          <w:sz w:val="20"/>
          <w:szCs w:val="20"/>
        </w:rPr>
        <w:t xml:space="preserve"> is calculated on an excess return basis and reflects commodity futures price movements. The index rebalances annually weighted 2/3 by trading volume and 1/3 by world production and weight-caps are applied at the commodity, sector and group level for diversification.</w:t>
      </w:r>
    </w:p>
    <w:p w14:paraId="381E51F5" w14:textId="77777777" w:rsidR="002579C2" w:rsidRPr="002579C2" w:rsidRDefault="002579C2" w:rsidP="002579C2">
      <w:pPr>
        <w:spacing w:line="360" w:lineRule="auto"/>
        <w:ind w:left="-288"/>
        <w:rPr>
          <w:rFonts w:ascii="Georgia" w:hAnsi="Georgia"/>
          <w:sz w:val="20"/>
          <w:szCs w:val="20"/>
        </w:rPr>
      </w:pPr>
      <w:r w:rsidRPr="00860EAF">
        <w:rPr>
          <w:rFonts w:ascii="Georgia" w:hAnsi="Georgia"/>
          <w:b/>
          <w:bCs/>
          <w:sz w:val="20"/>
          <w:szCs w:val="20"/>
        </w:rPr>
        <w:t>Treasury Inflation-Protected Securities (TIPS)</w:t>
      </w:r>
      <w:r w:rsidRPr="002579C2">
        <w:rPr>
          <w:rFonts w:ascii="Georgia" w:hAnsi="Georgia"/>
          <w:sz w:val="20"/>
          <w:szCs w:val="20"/>
        </w:rPr>
        <w:t xml:space="preserve"> are Treasury bonds that are indexed to inflation to protect investors from the negative effects of rising prices. The principal value of TIPS rises as inflation rises.</w:t>
      </w:r>
    </w:p>
    <w:p w14:paraId="7E3AEACF" w14:textId="77777777" w:rsidR="002579C2" w:rsidRPr="002579C2" w:rsidRDefault="002579C2" w:rsidP="002579C2">
      <w:pPr>
        <w:spacing w:line="360" w:lineRule="auto"/>
        <w:ind w:left="-288"/>
        <w:rPr>
          <w:rFonts w:ascii="Georgia" w:hAnsi="Georgia"/>
          <w:sz w:val="20"/>
          <w:szCs w:val="20"/>
        </w:rPr>
      </w:pPr>
      <w:r w:rsidRPr="00860EAF">
        <w:rPr>
          <w:rFonts w:ascii="Georgia" w:hAnsi="Georgia"/>
          <w:b/>
          <w:bCs/>
          <w:sz w:val="20"/>
          <w:szCs w:val="20"/>
        </w:rPr>
        <w:t>HFRI Fund of Funds Composite</w:t>
      </w:r>
      <w:r w:rsidRPr="002579C2">
        <w:rPr>
          <w:rFonts w:ascii="Georgia" w:hAnsi="Georgia"/>
          <w:sz w:val="20"/>
          <w:szCs w:val="20"/>
        </w:rPr>
        <w:t xml:space="preserve"> is an equal-weighted index consisting of over 800 constituent hedge funds, including both domestic and offshore funds.</w:t>
      </w:r>
    </w:p>
    <w:p w14:paraId="354EF9FE" w14:textId="405D87CE" w:rsidR="002579C2" w:rsidRPr="002579C2" w:rsidRDefault="002579C2" w:rsidP="002579C2">
      <w:pPr>
        <w:spacing w:line="360" w:lineRule="auto"/>
        <w:ind w:left="-288"/>
        <w:rPr>
          <w:rFonts w:ascii="Georgia" w:hAnsi="Georgia"/>
          <w:sz w:val="20"/>
          <w:szCs w:val="20"/>
        </w:rPr>
      </w:pPr>
      <w:r w:rsidRPr="00860EAF">
        <w:rPr>
          <w:rFonts w:ascii="Georgia" w:hAnsi="Georgia"/>
          <w:b/>
          <w:bCs/>
          <w:sz w:val="20"/>
          <w:szCs w:val="20"/>
        </w:rPr>
        <w:t>Cambridge Associates U.S. Private Equity Index (67% Buyout vs. 33% Venture)</w:t>
      </w:r>
      <w:r w:rsidRPr="002579C2">
        <w:rPr>
          <w:rFonts w:ascii="Georgia" w:hAnsi="Georgia"/>
          <w:sz w:val="20"/>
          <w:szCs w:val="20"/>
        </w:rPr>
        <w:t xml:space="preserve"> is based on data compiled from more than 1,</w:t>
      </w:r>
      <w:r w:rsidR="001519CB">
        <w:rPr>
          <w:rFonts w:ascii="Georgia" w:hAnsi="Georgia"/>
          <w:sz w:val="20"/>
          <w:szCs w:val="20"/>
        </w:rPr>
        <w:t>7</w:t>
      </w:r>
      <w:r w:rsidRPr="002579C2">
        <w:rPr>
          <w:rFonts w:ascii="Georgia" w:hAnsi="Georgia"/>
          <w:sz w:val="20"/>
          <w:szCs w:val="20"/>
        </w:rPr>
        <w:t xml:space="preserve">00 </w:t>
      </w:r>
      <w:r w:rsidR="007F0930">
        <w:rPr>
          <w:rFonts w:ascii="Georgia" w:hAnsi="Georgia"/>
          <w:sz w:val="20"/>
          <w:szCs w:val="20"/>
        </w:rPr>
        <w:t>U.S. private equity funds, including fully liquidated partnerships</w:t>
      </w:r>
      <w:r w:rsidR="00B212A5">
        <w:rPr>
          <w:rFonts w:ascii="Georgia" w:hAnsi="Georgia"/>
          <w:sz w:val="20"/>
          <w:szCs w:val="20"/>
        </w:rPr>
        <w:t>, formed between 1983 and 2025.</w:t>
      </w:r>
    </w:p>
    <w:p w14:paraId="31D9433E" w14:textId="77777777" w:rsidR="002579C2" w:rsidRPr="002579C2" w:rsidRDefault="002579C2" w:rsidP="002579C2">
      <w:pPr>
        <w:spacing w:line="360" w:lineRule="auto"/>
        <w:ind w:left="-288"/>
        <w:rPr>
          <w:rFonts w:ascii="Georgia" w:hAnsi="Georgia"/>
          <w:sz w:val="20"/>
          <w:szCs w:val="20"/>
        </w:rPr>
      </w:pPr>
      <w:r w:rsidRPr="00CC2710">
        <w:rPr>
          <w:rFonts w:ascii="Georgia" w:hAnsi="Georgia"/>
          <w:b/>
          <w:bCs/>
          <w:sz w:val="20"/>
          <w:szCs w:val="20"/>
        </w:rPr>
        <w:t>HFN Hedge Fund Aggregate Average</w:t>
      </w:r>
      <w:r w:rsidRPr="002579C2">
        <w:rPr>
          <w:rFonts w:ascii="Georgia" w:hAnsi="Georgia"/>
          <w:sz w:val="20"/>
          <w:szCs w:val="20"/>
        </w:rPr>
        <w:t xml:space="preserve"> is an equal weighted average of all hedge funds and CTA/managed futures products reporting to the HFN Database. Constituents are aggregated from each of the HFN Strategy Specific Indices.</w:t>
      </w:r>
    </w:p>
    <w:p w14:paraId="76F55D50" w14:textId="77777777" w:rsidR="002579C2" w:rsidRPr="002579C2" w:rsidRDefault="002579C2" w:rsidP="002579C2">
      <w:pPr>
        <w:spacing w:line="360" w:lineRule="auto"/>
        <w:ind w:left="-288"/>
        <w:rPr>
          <w:rFonts w:ascii="Georgia" w:hAnsi="Georgia"/>
          <w:sz w:val="20"/>
          <w:szCs w:val="20"/>
        </w:rPr>
      </w:pPr>
      <w:r w:rsidRPr="00CC2710">
        <w:rPr>
          <w:rFonts w:ascii="Georgia" w:hAnsi="Georgia"/>
          <w:b/>
          <w:bCs/>
          <w:sz w:val="20"/>
          <w:szCs w:val="20"/>
        </w:rPr>
        <w:t>S&amp;P Goldman Sachs Commodity Index (GSCI)</w:t>
      </w:r>
      <w:r w:rsidRPr="002579C2">
        <w:rPr>
          <w:rFonts w:ascii="Georgia" w:hAnsi="Georgia"/>
          <w:sz w:val="20"/>
          <w:szCs w:val="20"/>
        </w:rPr>
        <w:t xml:space="preserve"> is a broadly diversified, unleveraged, long-only composite index of commodities that measures the performance of the commodity market.</w:t>
      </w:r>
    </w:p>
    <w:p w14:paraId="3E09C451" w14:textId="77777777" w:rsidR="002579C2" w:rsidRPr="002579C2" w:rsidRDefault="002579C2" w:rsidP="002579C2">
      <w:pPr>
        <w:spacing w:line="360" w:lineRule="auto"/>
        <w:ind w:left="-288"/>
        <w:rPr>
          <w:rFonts w:ascii="Georgia" w:hAnsi="Georgia"/>
          <w:sz w:val="20"/>
          <w:szCs w:val="20"/>
        </w:rPr>
      </w:pPr>
      <w:r w:rsidRPr="00CC2710">
        <w:rPr>
          <w:rFonts w:ascii="Georgia" w:hAnsi="Georgia"/>
          <w:b/>
          <w:bCs/>
          <w:sz w:val="20"/>
          <w:szCs w:val="20"/>
        </w:rPr>
        <w:t>Morningstar LSTA U.S. Leveraged Loan Index</w:t>
      </w:r>
      <w:r w:rsidRPr="002579C2">
        <w:rPr>
          <w:rFonts w:ascii="Georgia" w:hAnsi="Georgia"/>
          <w:sz w:val="20"/>
          <w:szCs w:val="20"/>
        </w:rPr>
        <w:t xml:space="preserve"> measures the performance of the leveraged loan market. It is a market-capitalization weighted index.</w:t>
      </w:r>
    </w:p>
    <w:p w14:paraId="17BD33D1" w14:textId="77777777" w:rsidR="002579C2" w:rsidRPr="002579C2" w:rsidRDefault="002579C2" w:rsidP="002579C2">
      <w:pPr>
        <w:spacing w:line="360" w:lineRule="auto"/>
        <w:ind w:left="-288"/>
        <w:rPr>
          <w:rFonts w:ascii="Georgia" w:hAnsi="Georgia"/>
          <w:sz w:val="20"/>
          <w:szCs w:val="20"/>
        </w:rPr>
      </w:pPr>
      <w:r w:rsidRPr="00CC2710">
        <w:rPr>
          <w:rFonts w:ascii="Georgia" w:hAnsi="Georgia"/>
          <w:b/>
          <w:bCs/>
          <w:sz w:val="20"/>
          <w:szCs w:val="20"/>
        </w:rPr>
        <w:lastRenderedPageBreak/>
        <w:t>S&amp;P Real Asset Index</w:t>
      </w:r>
      <w:r w:rsidRPr="002579C2">
        <w:rPr>
          <w:rFonts w:ascii="Georgia" w:hAnsi="Georgia"/>
          <w:sz w:val="20"/>
          <w:szCs w:val="20"/>
        </w:rPr>
        <w:t xml:space="preserve"> is designed to measure global property, infrastructure, commodities, and inflation-linked bonds using liquid and investable component indices that track public equities, fixed income, and futures. In the index, equity holds 50% weight, commodities 10%, and fixed income 40%.</w:t>
      </w:r>
    </w:p>
    <w:p w14:paraId="50798AFA" w14:textId="77777777" w:rsidR="002579C2" w:rsidRPr="002579C2" w:rsidRDefault="002579C2" w:rsidP="002579C2">
      <w:pPr>
        <w:spacing w:line="360" w:lineRule="auto"/>
        <w:ind w:left="-288"/>
        <w:rPr>
          <w:rFonts w:ascii="Georgia" w:hAnsi="Georgia"/>
          <w:sz w:val="20"/>
          <w:szCs w:val="20"/>
        </w:rPr>
      </w:pPr>
      <w:r w:rsidRPr="00CC2710">
        <w:rPr>
          <w:rFonts w:ascii="Georgia" w:hAnsi="Georgia"/>
          <w:b/>
          <w:bCs/>
          <w:sz w:val="20"/>
          <w:szCs w:val="20"/>
        </w:rPr>
        <w:t>Dow Jones Brookfield Global Infrastructure Index</w:t>
      </w:r>
      <w:r w:rsidRPr="002579C2">
        <w:rPr>
          <w:rFonts w:ascii="Georgia" w:hAnsi="Georgia"/>
          <w:sz w:val="20"/>
          <w:szCs w:val="20"/>
        </w:rPr>
        <w:t xml:space="preserve"> is designed to measure the performance of pure-play infrastructure companies domiciled globally. The index covers all sectors of the infrastructure market. To be included in the index, a company must derive at least 70% of cash flows from infrastructure lines of business.</w:t>
      </w:r>
    </w:p>
    <w:p w14:paraId="61D57F8C" w14:textId="77777777" w:rsidR="002579C2" w:rsidRPr="002579C2" w:rsidRDefault="002579C2" w:rsidP="002579C2">
      <w:pPr>
        <w:spacing w:line="360" w:lineRule="auto"/>
        <w:ind w:left="-288"/>
        <w:rPr>
          <w:rFonts w:ascii="Georgia" w:hAnsi="Georgia"/>
          <w:sz w:val="20"/>
          <w:szCs w:val="20"/>
        </w:rPr>
      </w:pPr>
      <w:r w:rsidRPr="00CC2710">
        <w:rPr>
          <w:rFonts w:ascii="Georgia" w:hAnsi="Georgia"/>
          <w:b/>
          <w:bCs/>
          <w:sz w:val="20"/>
          <w:szCs w:val="20"/>
        </w:rPr>
        <w:t>FTSE Nareit All Equity REITs Index</w:t>
      </w:r>
      <w:r w:rsidRPr="002579C2">
        <w:rPr>
          <w:rFonts w:ascii="Georgia" w:hAnsi="Georgia"/>
          <w:sz w:val="20"/>
          <w:szCs w:val="20"/>
        </w:rPr>
        <w:t xml:space="preserve"> is a free-float adjusted, market capitalization-weighted index of U.S. equity REITs. Constituents of the index include all tax-qualified REITs with more than 50 percent of total assets in qualifying real estate assets other than mortgages secured by real property.</w:t>
      </w:r>
    </w:p>
    <w:p w14:paraId="568AF8D2" w14:textId="77777777" w:rsidR="002579C2" w:rsidRPr="002579C2" w:rsidRDefault="002579C2" w:rsidP="002579C2">
      <w:pPr>
        <w:spacing w:line="360" w:lineRule="auto"/>
        <w:ind w:left="-288"/>
        <w:rPr>
          <w:rFonts w:ascii="Georgia" w:hAnsi="Georgia"/>
          <w:sz w:val="20"/>
          <w:szCs w:val="20"/>
        </w:rPr>
      </w:pPr>
      <w:r w:rsidRPr="00CC2710">
        <w:rPr>
          <w:rFonts w:ascii="Georgia" w:hAnsi="Georgia"/>
          <w:b/>
          <w:bCs/>
          <w:sz w:val="20"/>
          <w:szCs w:val="20"/>
        </w:rPr>
        <w:t>Consumer Price Index (CPI)</w:t>
      </w:r>
      <w:r w:rsidRPr="002579C2">
        <w:rPr>
          <w:rFonts w:ascii="Georgia" w:hAnsi="Georgia"/>
          <w:sz w:val="20"/>
          <w:szCs w:val="20"/>
        </w:rPr>
        <w:t xml:space="preserve"> measures the weighted average of prices of a basket of consumer goods and services, weighted according to their importance.</w:t>
      </w:r>
    </w:p>
    <w:p w14:paraId="2C787DC3" w14:textId="77777777" w:rsidR="002579C2" w:rsidRPr="002579C2" w:rsidRDefault="002579C2" w:rsidP="002579C2">
      <w:pPr>
        <w:spacing w:line="360" w:lineRule="auto"/>
        <w:ind w:left="-288"/>
        <w:rPr>
          <w:rFonts w:ascii="Georgia" w:hAnsi="Georgia"/>
          <w:sz w:val="20"/>
          <w:szCs w:val="20"/>
        </w:rPr>
      </w:pPr>
      <w:r w:rsidRPr="00CC2710">
        <w:rPr>
          <w:rFonts w:ascii="Georgia" w:hAnsi="Georgia"/>
          <w:b/>
          <w:bCs/>
          <w:sz w:val="20"/>
          <w:szCs w:val="20"/>
        </w:rPr>
        <w:t>10-year U.S. Treasury Yield</w:t>
      </w:r>
      <w:r w:rsidRPr="002579C2">
        <w:rPr>
          <w:rFonts w:ascii="Georgia" w:hAnsi="Georgia"/>
          <w:sz w:val="20"/>
          <w:szCs w:val="20"/>
        </w:rPr>
        <w:t xml:space="preserve"> is the interest rate the U.S. government pays to borrow money for a decade, serving as a benchmark for other interest rates and a key indicator of investor sentiment about economic conditions.</w:t>
      </w:r>
    </w:p>
    <w:p w14:paraId="5FBB3991" w14:textId="51861E75" w:rsidR="002579C2" w:rsidRDefault="002579C2" w:rsidP="00CC2710">
      <w:pPr>
        <w:spacing w:line="360" w:lineRule="auto"/>
        <w:ind w:left="-288"/>
        <w:rPr>
          <w:rFonts w:ascii="Georgia" w:hAnsi="Georgia"/>
          <w:sz w:val="20"/>
          <w:szCs w:val="20"/>
        </w:rPr>
      </w:pPr>
      <w:r w:rsidRPr="00CC2710">
        <w:rPr>
          <w:rFonts w:ascii="Georgia" w:hAnsi="Georgia"/>
          <w:b/>
          <w:bCs/>
          <w:sz w:val="20"/>
          <w:szCs w:val="20"/>
        </w:rPr>
        <w:t>10-Year U.S. TIPS Yield</w:t>
      </w:r>
      <w:r w:rsidRPr="002579C2">
        <w:rPr>
          <w:rFonts w:ascii="Georgia" w:hAnsi="Georgia"/>
          <w:sz w:val="20"/>
          <w:szCs w:val="20"/>
        </w:rPr>
        <w:t xml:space="preserve"> is the interest rate the U.S. government pays to borrow money for a decade, adjusted for inflation, that offer investors protection against U.S. inflation or rising consumer prices.</w:t>
      </w:r>
    </w:p>
    <w:sectPr w:rsidR="002579C2" w:rsidSect="00047E32">
      <w:headerReference w:type="even" r:id="rId32"/>
      <w:headerReference w:type="default" r:id="rId33"/>
      <w:footerReference w:type="even" r:id="rId34"/>
      <w:footerReference w:type="default" r:id="rId35"/>
      <w:headerReference w:type="first" r:id="rId36"/>
      <w:footerReference w:type="first" r:id="rId37"/>
      <w:pgSz w:w="12240" w:h="15840"/>
      <w:pgMar w:top="1440" w:right="990" w:bottom="1440" w:left="144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83F5F" w14:textId="77777777" w:rsidR="009300B4" w:rsidRDefault="009300B4" w:rsidP="00BA7138">
      <w:r>
        <w:separator/>
      </w:r>
    </w:p>
  </w:endnote>
  <w:endnote w:type="continuationSeparator" w:id="0">
    <w:p w14:paraId="303C3363" w14:textId="77777777" w:rsidR="009300B4" w:rsidRDefault="009300B4" w:rsidP="00BA7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626E7" w14:textId="77777777" w:rsidR="00E735FD" w:rsidRPr="007A30D3" w:rsidRDefault="00E735FD" w:rsidP="00E735FD">
    <w:pPr>
      <w:jc w:val="center"/>
      <w:rPr>
        <w:color w:val="002856"/>
      </w:rPr>
    </w:pPr>
    <w:r w:rsidRPr="007A30D3">
      <w:rPr>
        <w:rFonts w:ascii="Helvetica" w:hAnsi="Helvetica" w:cs="Helvetica"/>
        <w:color w:val="002856"/>
        <w:sz w:val="18"/>
        <w:szCs w:val="18"/>
      </w:rPr>
      <w:t>www.</w:t>
    </w:r>
    <w:r w:rsidRPr="007A30D3">
      <w:rPr>
        <w:rFonts w:ascii="Arial" w:hAnsi="Arial" w:cs="Arial"/>
        <w:color w:val="002856"/>
        <w:sz w:val="18"/>
        <w:szCs w:val="18"/>
      </w:rPr>
      <w:t>FiducientAdvisors.com</w:t>
    </w:r>
  </w:p>
  <w:p w14:paraId="7D5DCC22" w14:textId="77777777" w:rsidR="00E735FD" w:rsidRPr="00E735FD" w:rsidRDefault="00E735FD" w:rsidP="00E735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EECCF" w14:textId="18C6FC15" w:rsidR="00D73390" w:rsidRDefault="00D73390" w:rsidP="004771A7">
    <w:pPr>
      <w:jc w:val="center"/>
      <w:rPr>
        <w:rFonts w:ascii="Helvetica" w:hAnsi="Helvetica" w:cs="Helvetica"/>
        <w:color w:val="002856"/>
        <w:sz w:val="18"/>
        <w:szCs w:val="18"/>
      </w:rPr>
    </w:pPr>
  </w:p>
  <w:p w14:paraId="3CD7C935" w14:textId="5F962819" w:rsidR="004771A7" w:rsidRPr="00187393" w:rsidRDefault="00187393" w:rsidP="00DE113E">
    <w:pPr>
      <w:jc w:val="center"/>
      <w:rPr>
        <w:color w:val="002855"/>
      </w:rPr>
    </w:pPr>
    <w:r w:rsidRPr="00E94F71">
      <w:rPr>
        <w:noProof/>
        <w:color w:val="EE0000"/>
      </w:rPr>
      <mc:AlternateContent>
        <mc:Choice Requires="wps">
          <w:drawing>
            <wp:anchor distT="0" distB="0" distL="114300" distR="114300" simplePos="0" relativeHeight="251658242" behindDoc="0" locked="0" layoutInCell="1" allowOverlap="1" wp14:anchorId="504B250D" wp14:editId="12B6DDF6">
              <wp:simplePos x="0" y="0"/>
              <wp:positionH relativeFrom="page">
                <wp:posOffset>0</wp:posOffset>
              </wp:positionH>
              <wp:positionV relativeFrom="paragraph">
                <wp:posOffset>212725</wp:posOffset>
              </wp:positionV>
              <wp:extent cx="7754620" cy="365760"/>
              <wp:effectExtent l="0" t="0" r="17780" b="15240"/>
              <wp:wrapNone/>
              <wp:docPr id="1197380004" name="Rectangle 1"/>
              <wp:cNvGraphicFramePr/>
              <a:graphic xmlns:a="http://schemas.openxmlformats.org/drawingml/2006/main">
                <a:graphicData uri="http://schemas.microsoft.com/office/word/2010/wordprocessingShape">
                  <wps:wsp>
                    <wps:cNvSpPr/>
                    <wps:spPr>
                      <a:xfrm>
                        <a:off x="0" y="0"/>
                        <a:ext cx="7754620" cy="365760"/>
                      </a:xfrm>
                      <a:prstGeom prst="rect">
                        <a:avLst/>
                      </a:prstGeom>
                      <a:solidFill>
                        <a:srgbClr val="002855"/>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178E3" id="Rectangle 1" o:spid="_x0000_s1026" style="position:absolute;margin-left:0;margin-top:16.75pt;width:610.6pt;height:28.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" fillcolor="#002855" strokecolor="black [480]" strokeweight="1pt">
              <w10:wrap anchorx="page"/>
            </v:rect>
          </w:pict>
        </mc:Fallback>
      </mc:AlternateContent>
    </w:r>
    <w:hyperlink r:id="rId1" w:history="1">
      <w:r w:rsidR="004771A7" w:rsidRPr="00E94F71">
        <w:rPr>
          <w:rStyle w:val="Hyperlink"/>
          <w:rFonts w:ascii="Helvetica" w:hAnsi="Helvetica" w:cs="Helvetica"/>
          <w:color w:val="EE0000"/>
          <w:sz w:val="18"/>
          <w:szCs w:val="18"/>
        </w:rPr>
        <w:t>www.</w:t>
      </w:r>
      <w:r w:rsidR="004771A7" w:rsidRPr="00E94F71">
        <w:rPr>
          <w:rStyle w:val="Hyperlink"/>
          <w:rFonts w:ascii="Arial" w:hAnsi="Arial" w:cs="Arial"/>
          <w:color w:val="EE0000"/>
          <w:sz w:val="18"/>
          <w:szCs w:val="18"/>
        </w:rPr>
        <w:t>FiducientAdvisors.com</w:t>
      </w:r>
    </w:hyperlink>
  </w:p>
  <w:p w14:paraId="2FBC99D4" w14:textId="42EDB84D" w:rsidR="00291B5E" w:rsidRDefault="00291B5E">
    <w:pPr>
      <w:pStyle w:val="Footer"/>
    </w:pPr>
  </w:p>
  <w:p w14:paraId="5368A0FA" w14:textId="6397978D" w:rsidR="00291B5E" w:rsidRDefault="00291B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04AE8" w14:textId="77777777" w:rsidR="001B4799" w:rsidRDefault="001B4799" w:rsidP="001B4799">
    <w:pPr>
      <w:ind w:left="-720" w:right="-540"/>
      <w:jc w:val="center"/>
      <w:rPr>
        <w:rFonts w:ascii="Georgia" w:hAnsi="Georgia"/>
        <w:i/>
        <w:iCs/>
        <w:sz w:val="16"/>
        <w:szCs w:val="16"/>
      </w:rPr>
    </w:pPr>
    <w:r w:rsidRPr="005C58CA">
      <w:rPr>
        <w:rFonts w:ascii="Georgia" w:hAnsi="Georgia"/>
        <w:i/>
        <w:iCs/>
        <w:sz w:val="16"/>
        <w:szCs w:val="16"/>
      </w:rPr>
      <w:t xml:space="preserve">This report is intended for the exclusive use of clients or prospective clients (the “recipient”) of </w:t>
    </w:r>
    <w:r w:rsidRPr="00C368F6">
      <w:rPr>
        <w:rFonts w:ascii="Georgia" w:hAnsi="Georgia"/>
        <w:i/>
        <w:iCs/>
        <w:color w:val="EE0000"/>
        <w:sz w:val="16"/>
        <w:szCs w:val="16"/>
      </w:rPr>
      <w:t>Fiducient Advisors LLC, A Wealthspire Company</w:t>
    </w:r>
    <w:r w:rsidRPr="005C58CA">
      <w:rPr>
        <w:rFonts w:ascii="Georgia" w:hAnsi="Georgia"/>
        <w:i/>
        <w:iCs/>
        <w:sz w:val="16"/>
        <w:szCs w:val="16"/>
      </w:rPr>
      <w:t xml:space="preserve"> and the information contained herein is confidential and the dissemination or distribution to any other person without the prior approval of </w:t>
    </w:r>
    <w:r w:rsidRPr="00C368F6">
      <w:rPr>
        <w:rFonts w:ascii="Georgia" w:hAnsi="Georgia"/>
        <w:i/>
        <w:iCs/>
        <w:color w:val="EE0000"/>
        <w:sz w:val="16"/>
        <w:szCs w:val="16"/>
      </w:rPr>
      <w:t xml:space="preserve">Fiducient Advisors LLC, A Wealthspire Company </w:t>
    </w:r>
    <w:r w:rsidRPr="005C58CA">
      <w:rPr>
        <w:rFonts w:ascii="Georgia" w:hAnsi="Georgia"/>
        <w:i/>
        <w:iCs/>
        <w:sz w:val="16"/>
        <w:szCs w:val="16"/>
      </w:rPr>
      <w:t xml:space="preserve">is strictly prohibited. Information has been obtained from sources believed to be reliable, though not independently verified. Any forecasts are hypothetical and represent future expectations and not actual return volatilities and correlations will differ from forecasts. This report does not represent a specific investment recommendation. The opinions and analysis expressed herein are based on </w:t>
    </w:r>
    <w:r w:rsidRPr="00C368F6">
      <w:rPr>
        <w:rFonts w:ascii="Georgia" w:hAnsi="Georgia"/>
        <w:i/>
        <w:iCs/>
        <w:color w:val="EE0000"/>
        <w:sz w:val="16"/>
        <w:szCs w:val="16"/>
      </w:rPr>
      <w:t xml:space="preserve">Fiducient Advisors LLC, A Wealthspire Company </w:t>
    </w:r>
    <w:r w:rsidRPr="005C58CA">
      <w:rPr>
        <w:rFonts w:ascii="Georgia" w:hAnsi="Georgia"/>
        <w:i/>
        <w:iCs/>
        <w:sz w:val="16"/>
        <w:szCs w:val="16"/>
      </w:rPr>
      <w:t>research and professional experience and are expressed as of the date of this report. Please consult with your advisor, attorney and accountant, as appropriate, regarding specific advice. Past performance does not indicate future performance and there is risk of loss.</w:t>
    </w:r>
  </w:p>
  <w:p w14:paraId="4DF2B03E" w14:textId="5CC22736" w:rsidR="004771A7" w:rsidRPr="00F54057" w:rsidRDefault="004771A7" w:rsidP="004771A7">
    <w:pPr>
      <w:jc w:val="center"/>
      <w:rPr>
        <w:color w:val="002855"/>
      </w:rPr>
    </w:pPr>
    <w:hyperlink r:id="rId1" w:history="1">
      <w:r w:rsidRPr="00E94F71">
        <w:rPr>
          <w:rStyle w:val="Hyperlink"/>
          <w:rFonts w:ascii="Helvetica" w:hAnsi="Helvetica" w:cs="Helvetica"/>
          <w:color w:val="EE0000"/>
          <w:sz w:val="18"/>
          <w:szCs w:val="18"/>
        </w:rPr>
        <w:t>www.</w:t>
      </w:r>
      <w:r w:rsidRPr="00E94F71">
        <w:rPr>
          <w:rStyle w:val="Hyperlink"/>
          <w:rFonts w:ascii="Arial" w:hAnsi="Arial" w:cs="Arial"/>
          <w:color w:val="EE0000"/>
          <w:sz w:val="18"/>
          <w:szCs w:val="18"/>
        </w:rPr>
        <w:t>FiducientAdvisors.com</w:t>
      </w:r>
    </w:hyperlink>
  </w:p>
  <w:p w14:paraId="1080C715" w14:textId="77777777" w:rsidR="004771A7" w:rsidRDefault="00477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41843" w14:textId="77777777" w:rsidR="009300B4" w:rsidRDefault="009300B4" w:rsidP="00BA7138">
      <w:r>
        <w:separator/>
      </w:r>
    </w:p>
  </w:footnote>
  <w:footnote w:type="continuationSeparator" w:id="0">
    <w:p w14:paraId="704F1AF6" w14:textId="77777777" w:rsidR="009300B4" w:rsidRDefault="009300B4" w:rsidP="00BA7138">
      <w:r>
        <w:continuationSeparator/>
      </w:r>
    </w:p>
  </w:footnote>
  <w:footnote w:id="1">
    <w:p w14:paraId="32B16C95" w14:textId="62C4054F" w:rsidR="007B5BFF" w:rsidRPr="007B5BFF" w:rsidRDefault="0069120D" w:rsidP="004D3062">
      <w:pPr>
        <w:pStyle w:val="FootnoteText"/>
        <w:ind w:left="-270"/>
        <w:rPr>
          <w:rFonts w:ascii="Georgia" w:hAnsi="Georgia"/>
          <w:sz w:val="16"/>
          <w:szCs w:val="16"/>
        </w:rPr>
      </w:pPr>
      <w:r w:rsidRPr="00612821">
        <w:rPr>
          <w:rStyle w:val="FootnoteReference"/>
          <w:rFonts w:ascii="Georgia" w:hAnsi="Georgia"/>
          <w:sz w:val="16"/>
          <w:szCs w:val="16"/>
        </w:rPr>
        <w:footnoteRef/>
      </w:r>
      <w:r w:rsidR="007B5BFF">
        <w:rPr>
          <w:rFonts w:ascii="Georgia" w:hAnsi="Georgia"/>
          <w:sz w:val="16"/>
          <w:szCs w:val="16"/>
        </w:rPr>
        <w:t xml:space="preserve"> </w:t>
      </w:r>
      <w:r w:rsidR="00612821" w:rsidRPr="007B5BFF">
        <w:rPr>
          <w:rFonts w:ascii="Georgia" w:hAnsi="Georgia"/>
          <w:sz w:val="16"/>
          <w:szCs w:val="16"/>
        </w:rPr>
        <w:t xml:space="preserve">The </w:t>
      </w:r>
      <w:r w:rsidR="00597B83" w:rsidRPr="007B5BFF">
        <w:rPr>
          <w:rFonts w:ascii="Georgia" w:hAnsi="Georgia"/>
          <w:sz w:val="16"/>
          <w:szCs w:val="16"/>
        </w:rPr>
        <w:t>4.6</w:t>
      </w:r>
      <w:r w:rsidR="00612821" w:rsidRPr="007B5BFF">
        <w:rPr>
          <w:rFonts w:ascii="Georgia" w:hAnsi="Georgia"/>
          <w:sz w:val="16"/>
          <w:szCs w:val="16"/>
        </w:rPr>
        <w:t xml:space="preserve"> percent annualized return assumption is used for optimization purposes to advantage municipal bonds over taxable bonds in taxable accounts as appropriate. However, </w:t>
      </w:r>
      <w:r w:rsidR="00597B83" w:rsidRPr="007B5BFF">
        <w:rPr>
          <w:rFonts w:ascii="Georgia" w:hAnsi="Georgia"/>
          <w:sz w:val="16"/>
          <w:szCs w:val="16"/>
        </w:rPr>
        <w:t>2.9</w:t>
      </w:r>
      <w:r w:rsidR="00612821" w:rsidRPr="007B5BFF">
        <w:rPr>
          <w:rFonts w:ascii="Georgia" w:hAnsi="Georgia"/>
          <w:sz w:val="16"/>
          <w:szCs w:val="16"/>
        </w:rPr>
        <w:t xml:space="preserve"> percent in annualized return is used when looking at portfolio level forward looking returns that are a weighted average of the underlying asset class return expectations.</w:t>
      </w:r>
    </w:p>
  </w:footnote>
  <w:footnote w:id="2">
    <w:p w14:paraId="167299E4" w14:textId="042F1105" w:rsidR="00D6314B" w:rsidRDefault="00095D1F" w:rsidP="004D3062">
      <w:pPr>
        <w:pStyle w:val="FootnoteText"/>
        <w:ind w:left="-270"/>
        <w:rPr>
          <w:rFonts w:ascii="Georgia" w:hAnsi="Georgia"/>
          <w:sz w:val="16"/>
          <w:szCs w:val="16"/>
        </w:rPr>
      </w:pPr>
      <w:r w:rsidRPr="007B5BFF">
        <w:rPr>
          <w:rStyle w:val="FootnoteReference"/>
          <w:rFonts w:ascii="Georgia" w:hAnsi="Georgia"/>
          <w:sz w:val="16"/>
          <w:szCs w:val="16"/>
        </w:rPr>
        <w:footnoteRef/>
      </w:r>
      <w:r w:rsidR="007B5BFF">
        <w:rPr>
          <w:rFonts w:ascii="Georgia" w:hAnsi="Georgia"/>
          <w:sz w:val="16"/>
          <w:szCs w:val="16"/>
        </w:rPr>
        <w:t xml:space="preserve"> </w:t>
      </w:r>
      <w:r w:rsidR="007B5BFF" w:rsidRPr="007B5BFF">
        <w:rPr>
          <w:rFonts w:ascii="Georgia" w:hAnsi="Georgia"/>
          <w:sz w:val="16"/>
          <w:szCs w:val="16"/>
        </w:rPr>
        <w:t>The 8.</w:t>
      </w:r>
      <w:r w:rsidR="00D6314B">
        <w:rPr>
          <w:rFonts w:ascii="Georgia" w:hAnsi="Georgia"/>
          <w:sz w:val="16"/>
          <w:szCs w:val="16"/>
        </w:rPr>
        <w:t>9</w:t>
      </w:r>
      <w:r w:rsidR="007B5BFF" w:rsidRPr="007B5BFF">
        <w:rPr>
          <w:rFonts w:ascii="Georgia" w:hAnsi="Georgia"/>
          <w:sz w:val="16"/>
          <w:szCs w:val="16"/>
        </w:rPr>
        <w:t xml:space="preserve"> percent annualized return assumption is used for optimization purposes to advantage municipal bonds over taxable bonds in taxable accounts as appropriate. However, 5.</w:t>
      </w:r>
      <w:r w:rsidR="00D6314B">
        <w:rPr>
          <w:rFonts w:ascii="Georgia" w:hAnsi="Georgia"/>
          <w:sz w:val="16"/>
          <w:szCs w:val="16"/>
        </w:rPr>
        <w:t>6</w:t>
      </w:r>
      <w:r w:rsidR="007B5BFF" w:rsidRPr="007B5BFF">
        <w:rPr>
          <w:rFonts w:ascii="Georgia" w:hAnsi="Georgia"/>
          <w:sz w:val="16"/>
          <w:szCs w:val="16"/>
        </w:rPr>
        <w:t xml:space="preserve"> percent in annualized return is used when looking at portfolio level forward looking returns that are a weighted average of the underlying asset class return expectations.</w:t>
      </w:r>
    </w:p>
    <w:p w14:paraId="38B62728" w14:textId="77777777" w:rsidR="00C641BE" w:rsidRDefault="00C641BE" w:rsidP="004D3062">
      <w:pPr>
        <w:pStyle w:val="FootnoteText"/>
        <w:ind w:left="-270"/>
        <w:rPr>
          <w:rFonts w:ascii="Georgia" w:hAnsi="Georgia"/>
          <w:sz w:val="16"/>
          <w:szCs w:val="16"/>
        </w:rPr>
      </w:pPr>
    </w:p>
    <w:p w14:paraId="1B772FC5" w14:textId="040A33D1" w:rsidR="00095D1F" w:rsidRPr="007B5BFF" w:rsidRDefault="007B5BFF" w:rsidP="004D3062">
      <w:pPr>
        <w:pStyle w:val="FootnoteText"/>
        <w:ind w:left="-270"/>
        <w:rPr>
          <w:i/>
          <w:iCs/>
        </w:rPr>
      </w:pPr>
      <w:r w:rsidRPr="007B5BFF">
        <w:rPr>
          <w:rFonts w:ascii="Georgia" w:hAnsi="Georgia"/>
          <w:i/>
          <w:iCs/>
          <w:sz w:val="16"/>
          <w:szCs w:val="16"/>
        </w:rPr>
        <w:t>Use of Indices and Benchmark Return Indices cannot be invested in directly. Index performance is reported gross of fees and expenses and assumes the reinvest dividends and capital gains. Past performance does not indicate future performance and there is a possibility of a loss. See disclosure page for indices representing each asset class.</w:t>
      </w:r>
    </w:p>
  </w:footnote>
  <w:footnote w:id="3">
    <w:p w14:paraId="4D8CDE53" w14:textId="7EF21D22" w:rsidR="00667FD7" w:rsidRPr="00900B92" w:rsidRDefault="00FB34AD" w:rsidP="000535F7">
      <w:pPr>
        <w:pStyle w:val="FootnoteText"/>
        <w:ind w:left="-270"/>
        <w:rPr>
          <w:rFonts w:ascii="Georgia" w:hAnsi="Georgia" w:cs="Arial"/>
          <w:sz w:val="16"/>
          <w:szCs w:val="16"/>
        </w:rPr>
      </w:pPr>
      <w:r w:rsidRPr="00215FAC">
        <w:rPr>
          <w:rStyle w:val="FootnoteReference"/>
          <w:rFonts w:ascii="Georgia" w:hAnsi="Georgia" w:cs="Arial"/>
          <w:sz w:val="16"/>
          <w:szCs w:val="16"/>
        </w:rPr>
        <w:footnoteRef/>
      </w:r>
      <w:r w:rsidR="00667FD7" w:rsidRPr="00215FAC">
        <w:rPr>
          <w:rFonts w:ascii="Georgia" w:hAnsi="Georgia" w:cs="Arial"/>
          <w:sz w:val="16"/>
          <w:szCs w:val="16"/>
        </w:rPr>
        <w:t>Default Rate = -0.006</w:t>
      </w:r>
      <w:r w:rsidR="00215FAC" w:rsidRPr="00215FAC">
        <w:rPr>
          <w:rFonts w:ascii="Georgia" w:hAnsi="Georgia" w:cs="Arial"/>
          <w:sz w:val="16"/>
          <w:szCs w:val="16"/>
        </w:rPr>
        <w:t>4</w:t>
      </w:r>
      <w:r w:rsidR="00667FD7" w:rsidRPr="00215FAC">
        <w:rPr>
          <w:rFonts w:ascii="Georgia" w:hAnsi="Georgia" w:cs="Arial"/>
          <w:sz w:val="16"/>
          <w:szCs w:val="16"/>
        </w:rPr>
        <w:t>% + 0.8</w:t>
      </w:r>
      <w:r w:rsidR="00215FAC" w:rsidRPr="00215FAC">
        <w:rPr>
          <w:rFonts w:ascii="Georgia" w:hAnsi="Georgia" w:cs="Arial"/>
          <w:sz w:val="16"/>
          <w:szCs w:val="16"/>
        </w:rPr>
        <w:t>105</w:t>
      </w:r>
      <w:r w:rsidR="00667FD7" w:rsidRPr="00215FAC">
        <w:rPr>
          <w:rFonts w:ascii="Georgia" w:hAnsi="Georgia" w:cs="Arial"/>
          <w:sz w:val="16"/>
          <w:szCs w:val="16"/>
        </w:rPr>
        <w:t xml:space="preserve"> * [HY Yield-to-Worst Spread vs. 10-Year Treasury]. R</w:t>
      </w:r>
      <w:r w:rsidR="00667FD7" w:rsidRPr="00900B92">
        <w:rPr>
          <w:rFonts w:ascii="Georgia" w:hAnsi="Georgia" w:cs="Arial"/>
          <w:sz w:val="16"/>
          <w:szCs w:val="16"/>
        </w:rPr>
        <w:t>-squared = 0.4</w:t>
      </w:r>
      <w:r w:rsidR="00900B92" w:rsidRPr="00900B92">
        <w:rPr>
          <w:rFonts w:ascii="Georgia" w:hAnsi="Georgia" w:cs="Arial"/>
          <w:sz w:val="16"/>
          <w:szCs w:val="16"/>
        </w:rPr>
        <w:t>73</w:t>
      </w:r>
      <w:r w:rsidR="00667FD7" w:rsidRPr="00900B92">
        <w:rPr>
          <w:rFonts w:ascii="Georgia" w:hAnsi="Georgia" w:cs="Arial"/>
          <w:sz w:val="16"/>
          <w:szCs w:val="16"/>
        </w:rPr>
        <w:t>.  Recovery Rate algorithm combines linear, polynomial, logarithmic and exponential factors; additional details available upon request.</w:t>
      </w:r>
    </w:p>
    <w:p w14:paraId="3039FC5B" w14:textId="77777777" w:rsidR="00667FD7" w:rsidRPr="00900B92" w:rsidRDefault="00667FD7" w:rsidP="00667FD7">
      <w:pPr>
        <w:pStyle w:val="FootnoteText"/>
        <w:rPr>
          <w:rFonts w:ascii="Georgia" w:hAnsi="Georgia"/>
        </w:rPr>
      </w:pPr>
    </w:p>
    <w:p w14:paraId="3DF9DD57" w14:textId="3B92FF9B" w:rsidR="00FB34AD" w:rsidRPr="00667FD7" w:rsidRDefault="00667FD7" w:rsidP="000535F7">
      <w:pPr>
        <w:pStyle w:val="FootnoteText"/>
        <w:ind w:left="-270"/>
        <w:rPr>
          <w:rFonts w:ascii="Arial" w:hAnsi="Arial" w:cs="Arial"/>
          <w:i/>
          <w:iCs/>
        </w:rPr>
      </w:pPr>
      <w:r w:rsidRPr="00900B92">
        <w:rPr>
          <w:rFonts w:ascii="Georgia" w:hAnsi="Georgia" w:cs="Arial"/>
          <w:i/>
          <w:iCs/>
          <w:sz w:val="16"/>
          <w:szCs w:val="16"/>
        </w:rPr>
        <w:t>Use of Indices and Benchmark Return</w:t>
      </w:r>
      <w:r w:rsidRPr="00667FD7">
        <w:rPr>
          <w:rFonts w:ascii="Arial" w:hAnsi="Arial" w:cs="Arial"/>
          <w:i/>
          <w:iCs/>
          <w:sz w:val="16"/>
          <w:szCs w:val="16"/>
        </w:rPr>
        <w:t xml:space="preserve"> Indices cannot be invested in directly. Index performance is reported gross of fees and expenses and assumes the reinvest dividends and capital gains. Past performance does not indicate future performance and there is a possibility of a loss. See disclosure page for indices representing each asset class.</w:t>
      </w:r>
    </w:p>
  </w:footnote>
  <w:footnote w:id="4">
    <w:p w14:paraId="5A856A6D" w14:textId="717F7127" w:rsidR="00110026" w:rsidRDefault="00110026" w:rsidP="00950157">
      <w:pPr>
        <w:pStyle w:val="FootnoteText"/>
        <w:ind w:left="-360"/>
        <w:rPr>
          <w:rFonts w:ascii="Georgia" w:hAnsi="Georgia"/>
          <w:sz w:val="16"/>
          <w:szCs w:val="16"/>
        </w:rPr>
      </w:pPr>
      <w:r w:rsidRPr="00AD1FA3">
        <w:rPr>
          <w:rStyle w:val="FootnoteReference"/>
          <w:rFonts w:ascii="Georgia" w:hAnsi="Georgia"/>
          <w:sz w:val="16"/>
          <w:szCs w:val="16"/>
        </w:rPr>
        <w:footnoteRef/>
      </w:r>
      <w:r w:rsidR="00AD1FA3" w:rsidRPr="00AD1FA3">
        <w:rPr>
          <w:rFonts w:ascii="Georgia" w:hAnsi="Georgia"/>
          <w:sz w:val="16"/>
          <w:szCs w:val="16"/>
        </w:rPr>
        <w:t>Source: FactSet, FTSE World Government Bond ex-U.S. Index data; Fiducient Advisors Calculation. As of October 31, 2025.</w:t>
      </w:r>
    </w:p>
    <w:p w14:paraId="2B05E755" w14:textId="77777777" w:rsidR="00950157" w:rsidRDefault="00950157" w:rsidP="00950157">
      <w:pPr>
        <w:pStyle w:val="FootnoteText"/>
        <w:ind w:left="-360"/>
        <w:rPr>
          <w:rFonts w:ascii="Georgia" w:hAnsi="Georgia"/>
          <w:sz w:val="16"/>
          <w:szCs w:val="16"/>
        </w:rPr>
      </w:pPr>
    </w:p>
    <w:p w14:paraId="3FB67C52" w14:textId="56CC25D0" w:rsidR="00950157" w:rsidRPr="00AD1FA3" w:rsidRDefault="00950157" w:rsidP="00950157">
      <w:pPr>
        <w:pStyle w:val="FootnoteText"/>
        <w:ind w:left="-360"/>
        <w:rPr>
          <w:rFonts w:ascii="Georgia" w:hAnsi="Georgia"/>
          <w:sz w:val="16"/>
          <w:szCs w:val="16"/>
        </w:rPr>
      </w:pPr>
      <w:r w:rsidRPr="00950157">
        <w:rPr>
          <w:rFonts w:ascii="Georgia" w:hAnsi="Georgia"/>
          <w:i/>
          <w:iCs/>
          <w:sz w:val="16"/>
          <w:szCs w:val="16"/>
        </w:rPr>
        <w:t>Use of Indices and Benchmark Return Indices cannot be invested in directly. Index performance is reported gross of fees and expenses and assumes the reinvest dividends and capital gains. Past performance does not indicate future performance and there is a possibility of a loss. See disclosure page for indices representing each asset class.</w:t>
      </w:r>
    </w:p>
  </w:footnote>
  <w:footnote w:id="5">
    <w:p w14:paraId="17196F64" w14:textId="20E0CE1A" w:rsidR="00950157" w:rsidRPr="00950157" w:rsidRDefault="00655849" w:rsidP="00950157">
      <w:pPr>
        <w:pStyle w:val="FootnoteText"/>
        <w:ind w:left="-270"/>
        <w:rPr>
          <w:rFonts w:ascii="Georgia" w:hAnsi="Georgia"/>
          <w:sz w:val="16"/>
          <w:szCs w:val="16"/>
        </w:rPr>
      </w:pPr>
      <w:r w:rsidRPr="00950157">
        <w:rPr>
          <w:rStyle w:val="FootnoteReference"/>
          <w:rFonts w:ascii="Georgia" w:hAnsi="Georgia"/>
          <w:sz w:val="16"/>
          <w:szCs w:val="16"/>
        </w:rPr>
        <w:footnoteRef/>
      </w:r>
      <w:r w:rsidR="00950157" w:rsidRPr="00950157">
        <w:rPr>
          <w:rFonts w:ascii="Georgia" w:hAnsi="Georgia"/>
          <w:sz w:val="16"/>
          <w:szCs w:val="16"/>
        </w:rPr>
        <w:t>Source: FactSet</w:t>
      </w:r>
      <w:r w:rsidR="0011635B">
        <w:rPr>
          <w:rFonts w:ascii="Georgia" w:hAnsi="Georgia"/>
          <w:sz w:val="16"/>
          <w:szCs w:val="16"/>
        </w:rPr>
        <w:t xml:space="preserve">, </w:t>
      </w:r>
      <w:r w:rsidR="00950157" w:rsidRPr="00950157">
        <w:rPr>
          <w:rFonts w:ascii="Georgia" w:hAnsi="Georgia"/>
          <w:sz w:val="16"/>
          <w:szCs w:val="16"/>
        </w:rPr>
        <w:t>JPMorgan GBI-EM Global Diversified Index data</w:t>
      </w:r>
      <w:r w:rsidR="0011635B">
        <w:rPr>
          <w:rFonts w:ascii="Georgia" w:hAnsi="Georgia"/>
          <w:sz w:val="16"/>
          <w:szCs w:val="16"/>
        </w:rPr>
        <w:t>,</w:t>
      </w:r>
      <w:r w:rsidR="00950157" w:rsidRPr="00950157">
        <w:rPr>
          <w:rFonts w:ascii="Georgia" w:hAnsi="Georgia"/>
          <w:sz w:val="16"/>
          <w:szCs w:val="16"/>
        </w:rPr>
        <w:t xml:space="preserve"> and CDS spreads, Fiducient Advisors Calculation.</w:t>
      </w:r>
    </w:p>
    <w:p w14:paraId="45D2FDA2" w14:textId="77777777" w:rsidR="00950157" w:rsidRPr="00950157" w:rsidRDefault="00950157" w:rsidP="00950157">
      <w:pPr>
        <w:pStyle w:val="FootnoteText"/>
        <w:ind w:left="-270"/>
        <w:rPr>
          <w:rFonts w:ascii="Georgia" w:hAnsi="Georgia"/>
          <w:i/>
          <w:iCs/>
          <w:sz w:val="16"/>
          <w:szCs w:val="16"/>
        </w:rPr>
      </w:pPr>
    </w:p>
    <w:p w14:paraId="138FCD60" w14:textId="4A59136E" w:rsidR="00655849" w:rsidRDefault="00950157" w:rsidP="00950157">
      <w:pPr>
        <w:pStyle w:val="FootnoteText"/>
        <w:ind w:left="-270"/>
      </w:pPr>
      <w:r w:rsidRPr="00950157">
        <w:rPr>
          <w:rFonts w:ascii="Georgia" w:hAnsi="Georgia"/>
          <w:i/>
          <w:iCs/>
          <w:sz w:val="16"/>
          <w:szCs w:val="16"/>
        </w:rPr>
        <w:t>Use of Indices and Benchmark Return Indices cannot be invested in directly. Index performance is reported gross of fees and expenses and assumes the reinvest dividends and capital gains. Past performance does not indicate future performance and there is a possibility of a loss. See disclosure page for indices representing each asset class.</w:t>
      </w:r>
    </w:p>
  </w:footnote>
  <w:footnote w:id="6">
    <w:p w14:paraId="67F3ECAB" w14:textId="59463614" w:rsidR="009710D7" w:rsidRPr="00B933FC" w:rsidRDefault="009710D7" w:rsidP="00B933FC">
      <w:pPr>
        <w:pStyle w:val="FootnoteText"/>
        <w:ind w:left="-270"/>
        <w:rPr>
          <w:rFonts w:ascii="Georgia" w:hAnsi="Georgia"/>
          <w:sz w:val="16"/>
          <w:szCs w:val="16"/>
        </w:rPr>
      </w:pPr>
      <w:r w:rsidRPr="00B933FC">
        <w:rPr>
          <w:rStyle w:val="FootnoteReference"/>
          <w:rFonts w:ascii="Georgia" w:hAnsi="Georgia"/>
          <w:sz w:val="16"/>
          <w:szCs w:val="16"/>
        </w:rPr>
        <w:footnoteRef/>
      </w:r>
      <w:r w:rsidR="00374BE6" w:rsidRPr="00B933FC">
        <w:rPr>
          <w:rFonts w:ascii="Georgia" w:hAnsi="Georgia"/>
          <w:sz w:val="16"/>
          <w:szCs w:val="16"/>
        </w:rPr>
        <w:t>RA Coefficient (i.e., Risk Aversion Coefficient) = Market Risk Premium/Market Variance.</w:t>
      </w:r>
    </w:p>
  </w:footnote>
  <w:footnote w:id="7">
    <w:p w14:paraId="78300AA6" w14:textId="71323B4B" w:rsidR="00374BE6" w:rsidRPr="00B933FC" w:rsidRDefault="00374BE6" w:rsidP="00B933FC">
      <w:pPr>
        <w:pStyle w:val="FootnoteText"/>
        <w:ind w:left="-270"/>
        <w:rPr>
          <w:rFonts w:ascii="Georgia" w:hAnsi="Georgia"/>
          <w:sz w:val="16"/>
          <w:szCs w:val="16"/>
        </w:rPr>
      </w:pPr>
      <w:r w:rsidRPr="00B933FC">
        <w:rPr>
          <w:rStyle w:val="FootnoteReference"/>
          <w:rFonts w:ascii="Georgia" w:hAnsi="Georgia"/>
          <w:sz w:val="16"/>
          <w:szCs w:val="16"/>
        </w:rPr>
        <w:footnoteRef/>
      </w:r>
      <w:r w:rsidR="001F1935" w:rsidRPr="00B933FC">
        <w:rPr>
          <w:rFonts w:ascii="Georgia" w:hAnsi="Georgia"/>
          <w:sz w:val="16"/>
          <w:szCs w:val="16"/>
        </w:rPr>
        <w:t>10-Year forecast standard deviation different from 1979-202</w:t>
      </w:r>
      <w:r w:rsidR="00630E6E">
        <w:rPr>
          <w:rFonts w:ascii="Georgia" w:hAnsi="Georgia"/>
          <w:sz w:val="16"/>
          <w:szCs w:val="16"/>
        </w:rPr>
        <w:t>5</w:t>
      </w:r>
      <w:r w:rsidR="001F1935" w:rsidRPr="00B933FC">
        <w:rPr>
          <w:rFonts w:ascii="Georgia" w:hAnsi="Georgia"/>
          <w:sz w:val="16"/>
          <w:szCs w:val="16"/>
        </w:rPr>
        <w:t xml:space="preserve"> historical standard deviation.</w:t>
      </w:r>
    </w:p>
  </w:footnote>
  <w:footnote w:id="8">
    <w:p w14:paraId="4636435F" w14:textId="06318881" w:rsidR="001B2C92" w:rsidRPr="00B933FC" w:rsidRDefault="001B2C92" w:rsidP="00B933FC">
      <w:pPr>
        <w:pStyle w:val="FootnoteText"/>
        <w:ind w:left="-270"/>
        <w:rPr>
          <w:rFonts w:ascii="Georgia" w:hAnsi="Georgia"/>
          <w:sz w:val="16"/>
          <w:szCs w:val="16"/>
        </w:rPr>
      </w:pPr>
      <w:r w:rsidRPr="00B933FC">
        <w:rPr>
          <w:rStyle w:val="FootnoteReference"/>
          <w:rFonts w:ascii="Georgia" w:hAnsi="Georgia"/>
          <w:sz w:val="16"/>
          <w:szCs w:val="16"/>
        </w:rPr>
        <w:footnoteRef/>
      </w:r>
      <w:r w:rsidR="001669D9" w:rsidRPr="00B933FC">
        <w:rPr>
          <w:rFonts w:ascii="Georgia" w:hAnsi="Georgia"/>
          <w:sz w:val="16"/>
          <w:szCs w:val="16"/>
        </w:rPr>
        <w:t>As of October 31, 202</w:t>
      </w:r>
      <w:r w:rsidR="00147266" w:rsidRPr="00B933FC">
        <w:rPr>
          <w:rFonts w:ascii="Georgia" w:hAnsi="Georgia"/>
          <w:sz w:val="16"/>
          <w:szCs w:val="16"/>
        </w:rPr>
        <w:t>5</w:t>
      </w:r>
      <w:r w:rsidR="001669D9" w:rsidRPr="00B933FC">
        <w:rPr>
          <w:rFonts w:ascii="Georgia" w:hAnsi="Georgia"/>
          <w:sz w:val="16"/>
          <w:szCs w:val="16"/>
        </w:rPr>
        <w:t xml:space="preserve">, the U.S. equity market capitalization was comprised as follows: </w:t>
      </w:r>
      <w:r w:rsidR="00147266" w:rsidRPr="00B933FC">
        <w:rPr>
          <w:rFonts w:ascii="Georgia" w:hAnsi="Georgia"/>
          <w:sz w:val="16"/>
          <w:szCs w:val="16"/>
        </w:rPr>
        <w:t>80.3</w:t>
      </w:r>
      <w:r w:rsidR="001669D9" w:rsidRPr="00B933FC">
        <w:rPr>
          <w:rFonts w:ascii="Georgia" w:hAnsi="Georgia"/>
          <w:sz w:val="16"/>
          <w:szCs w:val="16"/>
        </w:rPr>
        <w:t xml:space="preserve">% Large Cap, </w:t>
      </w:r>
      <w:r w:rsidR="00147266" w:rsidRPr="00B933FC">
        <w:rPr>
          <w:rFonts w:ascii="Georgia" w:hAnsi="Georgia"/>
          <w:sz w:val="16"/>
          <w:szCs w:val="16"/>
        </w:rPr>
        <w:t>10.8</w:t>
      </w:r>
      <w:r w:rsidR="001669D9" w:rsidRPr="00B933FC">
        <w:rPr>
          <w:rFonts w:ascii="Georgia" w:hAnsi="Georgia"/>
          <w:sz w:val="16"/>
          <w:szCs w:val="16"/>
        </w:rPr>
        <w:t xml:space="preserve">% Mid Cap and </w:t>
      </w:r>
      <w:r w:rsidR="00147266" w:rsidRPr="00B933FC">
        <w:rPr>
          <w:rFonts w:ascii="Georgia" w:hAnsi="Georgia"/>
          <w:sz w:val="16"/>
          <w:szCs w:val="16"/>
        </w:rPr>
        <w:t>8.8</w:t>
      </w:r>
      <w:r w:rsidR="001669D9" w:rsidRPr="00B933FC">
        <w:rPr>
          <w:rFonts w:ascii="Georgia" w:hAnsi="Georgia"/>
          <w:sz w:val="16"/>
          <w:szCs w:val="16"/>
        </w:rPr>
        <w:t>% Small Cap. Source: FactSet, MSCI.</w:t>
      </w:r>
    </w:p>
    <w:p w14:paraId="2AD50AC6" w14:textId="77777777" w:rsidR="00B933FC" w:rsidRPr="00B933FC" w:rsidRDefault="00B933FC" w:rsidP="00B933FC">
      <w:pPr>
        <w:pStyle w:val="FootnoteText"/>
        <w:ind w:left="-270"/>
        <w:rPr>
          <w:rFonts w:ascii="Georgia" w:hAnsi="Georgia"/>
          <w:sz w:val="16"/>
          <w:szCs w:val="16"/>
        </w:rPr>
      </w:pPr>
    </w:p>
    <w:p w14:paraId="26528126" w14:textId="060685D7" w:rsidR="00B933FC" w:rsidRPr="00B933FC" w:rsidRDefault="00B933FC" w:rsidP="00B933FC">
      <w:pPr>
        <w:pStyle w:val="FootnoteText"/>
        <w:ind w:left="-270"/>
        <w:rPr>
          <w:rFonts w:ascii="Georgia" w:hAnsi="Georgia"/>
          <w:i/>
          <w:iCs/>
          <w:sz w:val="16"/>
          <w:szCs w:val="16"/>
        </w:rPr>
      </w:pPr>
      <w:r w:rsidRPr="00B933FC">
        <w:rPr>
          <w:rFonts w:ascii="Georgia" w:hAnsi="Georgia"/>
          <w:i/>
          <w:iCs/>
          <w:sz w:val="16"/>
          <w:szCs w:val="16"/>
        </w:rPr>
        <w:t>Use of Indices and Benchmark Return Indices cannot be invested in directly. Index performance is reported gross of fees and expenses and assumes the reinvest dividends and capital gains. Past performance does not indicate future performance and there is a possibility of a loss. See disclosure page for indices representing each asset class.</w:t>
      </w:r>
    </w:p>
  </w:footnote>
  <w:footnote w:id="9">
    <w:p w14:paraId="7FE95DB0" w14:textId="60BDC97B" w:rsidR="001F542F" w:rsidRPr="00EC1254" w:rsidRDefault="001F542F" w:rsidP="00850E7E">
      <w:pPr>
        <w:pStyle w:val="FootnoteText"/>
        <w:ind w:left="-270"/>
        <w:rPr>
          <w:rFonts w:ascii="Georgia" w:hAnsi="Georgia"/>
          <w:sz w:val="16"/>
          <w:szCs w:val="16"/>
        </w:rPr>
      </w:pPr>
      <w:r w:rsidRPr="00523BC2">
        <w:rPr>
          <w:rStyle w:val="FootnoteReference"/>
          <w:rFonts w:ascii="Georgia" w:hAnsi="Georgia"/>
          <w:sz w:val="16"/>
          <w:szCs w:val="16"/>
        </w:rPr>
        <w:footnoteRef/>
      </w:r>
      <w:r w:rsidR="00850E7E" w:rsidRPr="00523BC2">
        <w:rPr>
          <w:rFonts w:ascii="Georgia" w:hAnsi="Georgia"/>
          <w:sz w:val="16"/>
          <w:szCs w:val="16"/>
        </w:rPr>
        <w:t>As of October 31, 202</w:t>
      </w:r>
      <w:r w:rsidR="00B54768" w:rsidRPr="00523BC2">
        <w:rPr>
          <w:rFonts w:ascii="Georgia" w:hAnsi="Georgia"/>
          <w:sz w:val="16"/>
          <w:szCs w:val="16"/>
        </w:rPr>
        <w:t>5</w:t>
      </w:r>
      <w:r w:rsidR="00850E7E" w:rsidRPr="00523BC2">
        <w:rPr>
          <w:rFonts w:ascii="Georgia" w:hAnsi="Georgia"/>
          <w:sz w:val="16"/>
          <w:szCs w:val="16"/>
        </w:rPr>
        <w:t xml:space="preserve">, </w:t>
      </w:r>
      <w:r w:rsidR="00850E7E" w:rsidRPr="00EC1254">
        <w:rPr>
          <w:rFonts w:ascii="Georgia" w:hAnsi="Georgia"/>
          <w:sz w:val="16"/>
          <w:szCs w:val="16"/>
        </w:rPr>
        <w:t xml:space="preserve">the Global ex-U.S. equity market capitalization was comprised as follows: </w:t>
      </w:r>
      <w:r w:rsidR="00D737EA" w:rsidRPr="00EC1254">
        <w:rPr>
          <w:rFonts w:ascii="Georgia" w:hAnsi="Georgia"/>
          <w:sz w:val="16"/>
          <w:szCs w:val="16"/>
        </w:rPr>
        <w:t>68.9</w:t>
      </w:r>
      <w:r w:rsidR="00850E7E" w:rsidRPr="00EC1254">
        <w:rPr>
          <w:rFonts w:ascii="Georgia" w:hAnsi="Georgia"/>
          <w:sz w:val="16"/>
          <w:szCs w:val="16"/>
        </w:rPr>
        <w:t xml:space="preserve">% Foreign Developed and </w:t>
      </w:r>
      <w:r w:rsidR="00523BC2" w:rsidRPr="00EC1254">
        <w:rPr>
          <w:rFonts w:ascii="Georgia" w:hAnsi="Georgia"/>
          <w:sz w:val="16"/>
          <w:szCs w:val="16"/>
        </w:rPr>
        <w:t>31.1</w:t>
      </w:r>
      <w:r w:rsidR="00850E7E" w:rsidRPr="00EC1254">
        <w:rPr>
          <w:rFonts w:ascii="Georgia" w:hAnsi="Georgia"/>
          <w:sz w:val="16"/>
          <w:szCs w:val="16"/>
        </w:rPr>
        <w:t>% Emerging Markets.  Source: FactSet, MSCI.</w:t>
      </w:r>
    </w:p>
  </w:footnote>
  <w:footnote w:id="10">
    <w:p w14:paraId="25025D1A" w14:textId="7BBC2ADC" w:rsidR="00261956" w:rsidRPr="00875A7C" w:rsidRDefault="00261956" w:rsidP="00540633">
      <w:pPr>
        <w:pStyle w:val="FootnoteText"/>
        <w:ind w:left="-270"/>
        <w:rPr>
          <w:rFonts w:ascii="Georgia" w:hAnsi="Georgia"/>
          <w:sz w:val="16"/>
          <w:szCs w:val="16"/>
        </w:rPr>
      </w:pPr>
      <w:r w:rsidRPr="00EC1254">
        <w:rPr>
          <w:rStyle w:val="FootnoteReference"/>
          <w:rFonts w:ascii="Georgia" w:hAnsi="Georgia"/>
          <w:sz w:val="16"/>
          <w:szCs w:val="16"/>
        </w:rPr>
        <w:footnoteRef/>
      </w:r>
      <w:r w:rsidR="00540633" w:rsidRPr="00EC1254">
        <w:rPr>
          <w:rFonts w:ascii="Georgia" w:hAnsi="Georgia"/>
          <w:sz w:val="16"/>
          <w:szCs w:val="16"/>
        </w:rPr>
        <w:t xml:space="preserve">As of October 31, </w:t>
      </w:r>
      <w:r w:rsidR="00540633" w:rsidRPr="00875A7C">
        <w:rPr>
          <w:rFonts w:ascii="Georgia" w:hAnsi="Georgia"/>
          <w:sz w:val="16"/>
          <w:szCs w:val="16"/>
        </w:rPr>
        <w:t>202</w:t>
      </w:r>
      <w:r w:rsidR="00523BC2" w:rsidRPr="00875A7C">
        <w:rPr>
          <w:rFonts w:ascii="Georgia" w:hAnsi="Georgia"/>
          <w:sz w:val="16"/>
          <w:szCs w:val="16"/>
        </w:rPr>
        <w:t>5</w:t>
      </w:r>
      <w:r w:rsidR="00540633" w:rsidRPr="00875A7C">
        <w:rPr>
          <w:rFonts w:ascii="Georgia" w:hAnsi="Georgia"/>
          <w:sz w:val="16"/>
          <w:szCs w:val="16"/>
        </w:rPr>
        <w:t xml:space="preserve">, the Global equity market capitalization was comprised as follows: </w:t>
      </w:r>
      <w:r w:rsidR="00523BC2" w:rsidRPr="00875A7C">
        <w:rPr>
          <w:rFonts w:ascii="Georgia" w:hAnsi="Georgia"/>
          <w:sz w:val="16"/>
          <w:szCs w:val="16"/>
        </w:rPr>
        <w:t>66.8</w:t>
      </w:r>
      <w:r w:rsidR="00540633" w:rsidRPr="00875A7C">
        <w:rPr>
          <w:rFonts w:ascii="Georgia" w:hAnsi="Georgia"/>
          <w:sz w:val="16"/>
          <w:szCs w:val="16"/>
        </w:rPr>
        <w:t xml:space="preserve">% U.S., </w:t>
      </w:r>
      <w:r w:rsidR="00523BC2" w:rsidRPr="00875A7C">
        <w:rPr>
          <w:rFonts w:ascii="Georgia" w:hAnsi="Georgia"/>
          <w:sz w:val="16"/>
          <w:szCs w:val="16"/>
        </w:rPr>
        <w:t>22.9</w:t>
      </w:r>
      <w:r w:rsidR="00540633" w:rsidRPr="00875A7C">
        <w:rPr>
          <w:rFonts w:ascii="Georgia" w:hAnsi="Georgia"/>
          <w:sz w:val="16"/>
          <w:szCs w:val="16"/>
        </w:rPr>
        <w:t xml:space="preserve">% Foreign Developed and </w:t>
      </w:r>
      <w:r w:rsidR="00EC1254" w:rsidRPr="00875A7C">
        <w:rPr>
          <w:rFonts w:ascii="Georgia" w:hAnsi="Georgia"/>
          <w:sz w:val="16"/>
          <w:szCs w:val="16"/>
        </w:rPr>
        <w:t>10.3</w:t>
      </w:r>
      <w:r w:rsidR="00540633" w:rsidRPr="00875A7C">
        <w:rPr>
          <w:rFonts w:ascii="Georgia" w:hAnsi="Georgia"/>
          <w:sz w:val="16"/>
          <w:szCs w:val="16"/>
        </w:rPr>
        <w:t>% Emerging Markets.  Source: FactSet, MSCI.</w:t>
      </w:r>
    </w:p>
    <w:p w14:paraId="18467A80" w14:textId="77777777" w:rsidR="00875A7C" w:rsidRPr="00875A7C" w:rsidRDefault="00875A7C" w:rsidP="00540633">
      <w:pPr>
        <w:pStyle w:val="FootnoteText"/>
        <w:ind w:left="-270"/>
        <w:rPr>
          <w:rFonts w:ascii="Georgia" w:hAnsi="Georgia"/>
          <w:sz w:val="16"/>
          <w:szCs w:val="16"/>
        </w:rPr>
      </w:pPr>
    </w:p>
    <w:p w14:paraId="51C52AC3" w14:textId="500D5DCD" w:rsidR="00875A7C" w:rsidRPr="00875A7C" w:rsidRDefault="00875A7C" w:rsidP="00540633">
      <w:pPr>
        <w:pStyle w:val="FootnoteText"/>
        <w:ind w:left="-270"/>
        <w:rPr>
          <w:rFonts w:ascii="Georgia" w:hAnsi="Georgia"/>
          <w:i/>
          <w:iCs/>
          <w:color w:val="EE0000"/>
          <w:sz w:val="16"/>
          <w:szCs w:val="16"/>
        </w:rPr>
      </w:pPr>
      <w:r w:rsidRPr="00875A7C">
        <w:rPr>
          <w:rFonts w:ascii="Georgia" w:hAnsi="Georgia"/>
          <w:i/>
          <w:iCs/>
          <w:sz w:val="16"/>
          <w:szCs w:val="16"/>
        </w:rPr>
        <w:t>Use of Indices and Benchmark Return Indices cannot be invested in directly. Index performance is reported gross of fees and expenses and assumes the reinvest dividends and capital gains. Past performance does not indicate future performance and there is a possibility of a loss. See disclosure page for indices representing each asset class.</w:t>
      </w:r>
    </w:p>
  </w:footnote>
  <w:footnote w:id="11">
    <w:p w14:paraId="4C06E597" w14:textId="2703E240" w:rsidR="00570EA7" w:rsidRDefault="00570EA7" w:rsidP="00540633">
      <w:pPr>
        <w:pStyle w:val="FootnoteText"/>
        <w:ind w:left="-270"/>
        <w:rPr>
          <w:rFonts w:ascii="Georgia" w:hAnsi="Georgia"/>
          <w:sz w:val="16"/>
          <w:szCs w:val="16"/>
        </w:rPr>
      </w:pPr>
      <w:r w:rsidRPr="00C1597C">
        <w:rPr>
          <w:rStyle w:val="FootnoteReference"/>
          <w:rFonts w:ascii="Georgia" w:hAnsi="Georgia"/>
          <w:sz w:val="16"/>
          <w:szCs w:val="16"/>
        </w:rPr>
        <w:footnoteRef/>
      </w:r>
      <w:r w:rsidRPr="00C1597C">
        <w:rPr>
          <w:rFonts w:ascii="Georgia" w:hAnsi="Georgia"/>
          <w:sz w:val="16"/>
          <w:szCs w:val="16"/>
        </w:rPr>
        <w:t xml:space="preserve"> </w:t>
      </w:r>
      <w:r w:rsidR="00AE510A" w:rsidRPr="00C1597C">
        <w:rPr>
          <w:rFonts w:ascii="Georgia" w:hAnsi="Georgia"/>
          <w:sz w:val="16"/>
          <w:szCs w:val="16"/>
        </w:rPr>
        <w:t>Unlike traditional stocks, REITs pay out virtually all their earnings (or FFO) in dividends and rely on the issuance of new equity (and debt) to grow earnings (or FFO). Therefore, the expected long-term RPR is capped at zero.</w:t>
      </w:r>
    </w:p>
    <w:p w14:paraId="087F0831" w14:textId="77777777" w:rsidR="001916A8" w:rsidRDefault="001916A8" w:rsidP="00540633">
      <w:pPr>
        <w:pStyle w:val="FootnoteText"/>
        <w:ind w:left="-270"/>
        <w:rPr>
          <w:rFonts w:ascii="Georgia" w:hAnsi="Georgia"/>
          <w:sz w:val="16"/>
          <w:szCs w:val="16"/>
        </w:rPr>
      </w:pPr>
    </w:p>
    <w:p w14:paraId="57A6BC77" w14:textId="0E83BBFA" w:rsidR="001916A8" w:rsidRPr="001916A8" w:rsidRDefault="001916A8" w:rsidP="00540633">
      <w:pPr>
        <w:pStyle w:val="FootnoteText"/>
        <w:ind w:left="-270"/>
        <w:rPr>
          <w:rFonts w:ascii="Georgia" w:hAnsi="Georgia"/>
          <w:i/>
          <w:iCs/>
          <w:sz w:val="16"/>
          <w:szCs w:val="16"/>
        </w:rPr>
      </w:pPr>
      <w:r w:rsidRPr="001916A8">
        <w:rPr>
          <w:rFonts w:ascii="Georgia" w:hAnsi="Georgia"/>
          <w:i/>
          <w:iCs/>
          <w:sz w:val="16"/>
          <w:szCs w:val="16"/>
        </w:rPr>
        <w:t>Use of Indices and Benchmark Return Indices cannot be invested in directly. Index performance is reported gross of fees and expenses and assumes the reinvest dividends and capital gains. Past performance does not indicate future performance and there is a possibility of a loss. See disclosure page for indices representing each asset class.</w:t>
      </w:r>
    </w:p>
  </w:footnote>
  <w:footnote w:id="12">
    <w:p w14:paraId="1F05539C" w14:textId="547A70A0" w:rsidR="001D19D6" w:rsidRPr="004A2C19" w:rsidRDefault="006F69AB" w:rsidP="001D19D6">
      <w:pPr>
        <w:pStyle w:val="FootnoteText"/>
        <w:ind w:left="-270"/>
        <w:rPr>
          <w:rFonts w:ascii="Georgia" w:hAnsi="Georgia"/>
          <w:sz w:val="16"/>
          <w:szCs w:val="16"/>
        </w:rPr>
      </w:pPr>
      <w:r w:rsidRPr="004A2C19">
        <w:rPr>
          <w:rStyle w:val="FootnoteReference"/>
          <w:rFonts w:ascii="Georgia" w:hAnsi="Georgia"/>
          <w:sz w:val="16"/>
          <w:szCs w:val="16"/>
        </w:rPr>
        <w:footnoteRef/>
      </w:r>
      <w:r w:rsidR="001D19D6" w:rsidRPr="004A2C19">
        <w:rPr>
          <w:rFonts w:ascii="Georgia" w:hAnsi="Georgia"/>
          <w:sz w:val="16"/>
          <w:szCs w:val="16"/>
        </w:rPr>
        <w:t>While our 10-year return forecast is expressed as if Marketable Alternatives returns were normally distributed, the Frontier Engineer® model treats the return forecast as a median (rather than mean), and fattens the left tail, increasing the magnitude of lower probability events. Additional detail surrounding forecast assumptions at the individual sub-strategy level is available upon request.</w:t>
      </w:r>
    </w:p>
    <w:p w14:paraId="2A65438B" w14:textId="77777777" w:rsidR="001D19D6" w:rsidRPr="001D19D6" w:rsidRDefault="001D19D6" w:rsidP="001D19D6">
      <w:pPr>
        <w:pStyle w:val="FootnoteText"/>
        <w:ind w:left="-270"/>
        <w:rPr>
          <w:rFonts w:ascii="Georgia" w:hAnsi="Georgia"/>
          <w:sz w:val="16"/>
          <w:szCs w:val="16"/>
        </w:rPr>
      </w:pPr>
    </w:p>
    <w:p w14:paraId="47C7815C" w14:textId="09DCE3FF" w:rsidR="006F69AB" w:rsidRPr="001D19D6" w:rsidRDefault="001D19D6" w:rsidP="001D19D6">
      <w:pPr>
        <w:pStyle w:val="FootnoteText"/>
        <w:ind w:left="-270"/>
        <w:rPr>
          <w:i/>
          <w:iCs/>
        </w:rPr>
      </w:pPr>
      <w:r w:rsidRPr="001D19D6">
        <w:rPr>
          <w:rFonts w:ascii="Georgia" w:hAnsi="Georgia"/>
          <w:i/>
          <w:iCs/>
          <w:sz w:val="16"/>
          <w:szCs w:val="16"/>
        </w:rPr>
        <w:t>Use of Indices and Benchmark Return Indices cannot be invested in directly. Index performance is reported gross of fees and expenses and assumes the reinvest dividends and capital gains. Past performance does not indicate future performance and there is a possibility of a loss. See disclosure page for indices representing each asset class.</w:t>
      </w:r>
    </w:p>
  </w:footnote>
  <w:footnote w:id="13">
    <w:p w14:paraId="55F1BA84" w14:textId="2AAC09DC" w:rsidR="00DE4AEA" w:rsidRPr="008359F2" w:rsidRDefault="00DE4AEA" w:rsidP="008359F2">
      <w:pPr>
        <w:pStyle w:val="FootnoteText"/>
        <w:ind w:left="-270"/>
        <w:rPr>
          <w:rFonts w:ascii="Georgia" w:hAnsi="Georgia"/>
          <w:sz w:val="16"/>
          <w:szCs w:val="16"/>
        </w:rPr>
      </w:pPr>
      <w:r w:rsidRPr="008359F2">
        <w:rPr>
          <w:rStyle w:val="FootnoteReference"/>
          <w:rFonts w:ascii="Georgia" w:hAnsi="Georgia"/>
          <w:sz w:val="16"/>
          <w:szCs w:val="16"/>
        </w:rPr>
        <w:footnoteRef/>
      </w:r>
      <w:r w:rsidRPr="008359F2">
        <w:rPr>
          <w:rFonts w:ascii="Georgia" w:hAnsi="Georgia"/>
          <w:sz w:val="16"/>
          <w:szCs w:val="16"/>
        </w:rPr>
        <w:t xml:space="preserve"> </w:t>
      </w:r>
      <w:r w:rsidR="00D26952" w:rsidRPr="008359F2">
        <w:rPr>
          <w:rFonts w:ascii="Georgia" w:hAnsi="Georgia"/>
          <w:sz w:val="16"/>
          <w:szCs w:val="16"/>
        </w:rPr>
        <w:t>Median return is used because it does not require a normal return distribution assumption.</w:t>
      </w:r>
    </w:p>
  </w:footnote>
  <w:footnote w:id="14">
    <w:p w14:paraId="233D0E61" w14:textId="39E96B67" w:rsidR="00BF04A9" w:rsidRPr="008359F2" w:rsidRDefault="00BF04A9" w:rsidP="008359F2">
      <w:pPr>
        <w:pStyle w:val="FootnoteText"/>
        <w:ind w:left="-270"/>
        <w:rPr>
          <w:rFonts w:ascii="Georgia" w:hAnsi="Georgia"/>
          <w:sz w:val="16"/>
          <w:szCs w:val="16"/>
        </w:rPr>
      </w:pPr>
      <w:r w:rsidRPr="008359F2">
        <w:rPr>
          <w:rStyle w:val="FootnoteReference"/>
          <w:rFonts w:ascii="Georgia" w:hAnsi="Georgia"/>
          <w:sz w:val="16"/>
          <w:szCs w:val="16"/>
        </w:rPr>
        <w:footnoteRef/>
      </w:r>
      <w:r w:rsidRPr="008359F2">
        <w:rPr>
          <w:rFonts w:ascii="Georgia" w:hAnsi="Georgia"/>
          <w:sz w:val="16"/>
          <w:szCs w:val="16"/>
        </w:rPr>
        <w:t xml:space="preserve"> </w:t>
      </w:r>
      <w:r w:rsidR="00003F65" w:rsidRPr="008359F2">
        <w:rPr>
          <w:rFonts w:ascii="Georgia" w:hAnsi="Georgia"/>
          <w:sz w:val="16"/>
          <w:szCs w:val="16"/>
        </w:rPr>
        <w:t>The expression of the expected geometric return forecast (from median returns) requires a normal return distribution assumption (i.e., that mean = median).  This is for illustrative purposes only.  The geometric return forecasts are expressed as if returns were normal (i.e., median = mean). For Frontier Engineer® optimization, asset class return distributions do not have to be normally (Gaussian) distributed.</w:t>
      </w:r>
    </w:p>
  </w:footnote>
  <w:footnote w:id="15">
    <w:p w14:paraId="2E994C53" w14:textId="27343C95" w:rsidR="001728AD" w:rsidRDefault="001728AD" w:rsidP="008359F2">
      <w:pPr>
        <w:pStyle w:val="FootnoteText"/>
        <w:ind w:left="-270"/>
      </w:pPr>
      <w:r w:rsidRPr="008359F2">
        <w:rPr>
          <w:rStyle w:val="FootnoteReference"/>
          <w:rFonts w:ascii="Georgia" w:hAnsi="Georgia"/>
          <w:sz w:val="16"/>
          <w:szCs w:val="16"/>
        </w:rPr>
        <w:footnoteRef/>
      </w:r>
      <w:r w:rsidRPr="008359F2">
        <w:rPr>
          <w:rFonts w:ascii="Georgia" w:hAnsi="Georgia"/>
          <w:sz w:val="16"/>
          <w:szCs w:val="16"/>
        </w:rPr>
        <w:t xml:space="preserve"> </w:t>
      </w:r>
      <w:r w:rsidR="00B124F2" w:rsidRPr="008359F2">
        <w:rPr>
          <w:rFonts w:ascii="Georgia" w:hAnsi="Georgia"/>
          <w:sz w:val="16"/>
          <w:szCs w:val="16"/>
        </w:rPr>
        <w:t>Geometric Return = Arithmetic Mean or Median Return – σ2/2.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C6ECD" w14:textId="77777777" w:rsidR="00C368F6" w:rsidRDefault="00C368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53360" w14:textId="61F783C7" w:rsidR="0069237E" w:rsidRDefault="002C5D5B">
    <w:pPr>
      <w:pStyle w:val="Header"/>
    </w:pPr>
    <w:r>
      <w:rPr>
        <w:noProof/>
      </w:rPr>
      <w:drawing>
        <wp:anchor distT="0" distB="0" distL="114300" distR="114300" simplePos="0" relativeHeight="251662338" behindDoc="0" locked="0" layoutInCell="1" allowOverlap="1" wp14:anchorId="6F87606D" wp14:editId="2E041693">
          <wp:simplePos x="0" y="0"/>
          <wp:positionH relativeFrom="margin">
            <wp:align>center</wp:align>
          </wp:positionH>
          <wp:positionV relativeFrom="paragraph">
            <wp:posOffset>190500</wp:posOffset>
          </wp:positionV>
          <wp:extent cx="5076825" cy="642620"/>
          <wp:effectExtent l="0" t="0" r="9525" b="5080"/>
          <wp:wrapSquare wrapText="bothSides"/>
          <wp:docPr id="1415149544" name="Picture 1415149544" descr="PLEASE REVIEW LANGUAGE / CONFIRM WITH YOUR COMPLIANCE DEPARTMENT. YOUR FIRM IS SOLELY RESPONSIBLE FOR ALL CONTENT IN THE PRESENTATION TO ENSURE COMPLIANCE WITH ALL APPLICABLE RULES AND LAWS, AS THIS IS TO BE BRANDED ENTIRELY BY YOUR FIRM.&#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EASE REVIEW LANGUAGE / CONFIRM WITH YOUR COMPLIANCE DEPARTMENT. YOUR FIRM IS SOLELY RESPONSIBLE FOR ALL CONTENT IN THE PRESENTATION TO ENSURE COMPLIANCE WITH ALL APPLICABLE RULES AND LAWS, AS THIS IS TO BE BRANDED ENTIRELY BY YOUR FIRM.&#10; &#10;"/>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b="42612"/>
                  <a:stretch/>
                </pic:blipFill>
                <pic:spPr bwMode="auto">
                  <a:xfrm>
                    <a:off x="0" y="0"/>
                    <a:ext cx="5076825" cy="642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C7073" w14:textId="32B2E0F8" w:rsidR="00F54057" w:rsidRDefault="002C5D5B">
    <w:pPr>
      <w:pStyle w:val="Header"/>
    </w:pPr>
    <w:r>
      <w:rPr>
        <w:noProof/>
      </w:rPr>
      <w:drawing>
        <wp:anchor distT="0" distB="0" distL="114300" distR="114300" simplePos="0" relativeHeight="251660290" behindDoc="0" locked="0" layoutInCell="1" allowOverlap="1" wp14:anchorId="136D6090" wp14:editId="4D236571">
          <wp:simplePos x="0" y="0"/>
          <wp:positionH relativeFrom="margin">
            <wp:align>center</wp:align>
          </wp:positionH>
          <wp:positionV relativeFrom="paragraph">
            <wp:posOffset>200025</wp:posOffset>
          </wp:positionV>
          <wp:extent cx="5076825" cy="642620"/>
          <wp:effectExtent l="0" t="0" r="9525" b="5080"/>
          <wp:wrapSquare wrapText="bothSides"/>
          <wp:docPr id="1167804133" name="Picture 1167804133" descr="PLEASE REVIEW LANGUAGE / CONFIRM WITH YOUR COMPLIANCE DEPARTMENT. YOUR FIRM IS SOLELY RESPONSIBLE FOR ALL CONTENT IN THE PRESENTATION TO ENSURE COMPLIANCE WITH ALL APPLICABLE RULES AND LAWS, AS THIS IS TO BE BRANDED ENTIRELY BY YOUR FIRM.&#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EASE REVIEW LANGUAGE / CONFIRM WITH YOUR COMPLIANCE DEPARTMENT. YOUR FIRM IS SOLELY RESPONSIBLE FOR ALL CONTENT IN THE PRESENTATION TO ENSURE COMPLIANCE WITH ALL APPLICABLE RULES AND LAWS, AS THIS IS TO BE BRANDED ENTIRELY BY YOUR FIRM.&#10; &#10;"/>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b="42612"/>
                  <a:stretch/>
                </pic:blipFill>
                <pic:spPr bwMode="auto">
                  <a:xfrm>
                    <a:off x="0" y="0"/>
                    <a:ext cx="5076825" cy="642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5E2C" w:rsidRPr="00545E2C">
      <w:rPr>
        <w:rFonts w:ascii="Calibri" w:eastAsia="Calibri" w:hAnsi="Calibri" w:cs="Times New Roman"/>
        <w:noProof/>
      </w:rPr>
      <mc:AlternateContent>
        <mc:Choice Requires="wps">
          <w:drawing>
            <wp:anchor distT="0" distB="0" distL="114300" distR="114300" simplePos="0" relativeHeight="251658240" behindDoc="0" locked="0" layoutInCell="1" allowOverlap="1" wp14:anchorId="2FB7928F" wp14:editId="4FC9AB84">
              <wp:simplePos x="0" y="0"/>
              <wp:positionH relativeFrom="page">
                <wp:posOffset>9525</wp:posOffset>
              </wp:positionH>
              <wp:positionV relativeFrom="paragraph">
                <wp:posOffset>0</wp:posOffset>
              </wp:positionV>
              <wp:extent cx="7754620" cy="365760"/>
              <wp:effectExtent l="0" t="0" r="17780" b="15240"/>
              <wp:wrapNone/>
              <wp:docPr id="383151355" name="Rectangle 1"/>
              <wp:cNvGraphicFramePr/>
              <a:graphic xmlns:a="http://schemas.openxmlformats.org/drawingml/2006/main">
                <a:graphicData uri="http://schemas.microsoft.com/office/word/2010/wordprocessingShape">
                  <wps:wsp>
                    <wps:cNvSpPr/>
                    <wps:spPr>
                      <a:xfrm>
                        <a:off x="0" y="0"/>
                        <a:ext cx="7754620" cy="365760"/>
                      </a:xfrm>
                      <a:prstGeom prst="rect">
                        <a:avLst/>
                      </a:prstGeom>
                      <a:solidFill>
                        <a:srgbClr val="002855"/>
                      </a:solidFill>
                      <a:ln w="12700" cap="flat" cmpd="sng" algn="ctr">
                        <a:solidFill>
                          <a:srgbClr val="00285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1AEF5" id="Rectangle 1" o:spid="_x0000_s1026" style="position:absolute;margin-left:.75pt;margin-top:0;width:610.6pt;height:28.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" fillcolor="#002855" strokecolor="#000a1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AA799C"/>
    <w:multiLevelType w:val="hybridMultilevel"/>
    <w:tmpl w:val="497A54C8"/>
    <w:lvl w:ilvl="0" w:tplc="EFD2D064">
      <w:numFmt w:val="bullet"/>
      <w:lvlText w:val="•"/>
      <w:lvlJc w:val="left"/>
      <w:pPr>
        <w:ind w:left="72" w:hanging="360"/>
      </w:pPr>
      <w:rPr>
        <w:rFonts w:ascii="Georgia" w:eastAsiaTheme="minorHAnsi" w:hAnsi="Georgia" w:cstheme="minorBidi" w:hint="default"/>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abstractNum w:abstractNumId="1" w15:restartNumberingAfterBreak="0">
    <w:nsid w:val="72487AEC"/>
    <w:multiLevelType w:val="hybridMultilevel"/>
    <w:tmpl w:val="8C7AAA6C"/>
    <w:lvl w:ilvl="0" w:tplc="3918B594">
      <w:start w:val="10"/>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9462E2"/>
    <w:multiLevelType w:val="hybridMultilevel"/>
    <w:tmpl w:val="8DE8A800"/>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num w:numId="1" w16cid:durableId="2783497">
    <w:abstractNumId w:val="2"/>
  </w:num>
  <w:num w:numId="2" w16cid:durableId="1054088169">
    <w:abstractNumId w:val="0"/>
  </w:num>
  <w:num w:numId="3" w16cid:durableId="420968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Version" w:val="5.0"/>
  </w:docVars>
  <w:rsids>
    <w:rsidRoot w:val="00382662"/>
    <w:rsid w:val="00000F8A"/>
    <w:rsid w:val="000018B6"/>
    <w:rsid w:val="00003F65"/>
    <w:rsid w:val="00011B99"/>
    <w:rsid w:val="00026BC0"/>
    <w:rsid w:val="00033247"/>
    <w:rsid w:val="00035CCA"/>
    <w:rsid w:val="00036D95"/>
    <w:rsid w:val="00040184"/>
    <w:rsid w:val="000428A1"/>
    <w:rsid w:val="00044623"/>
    <w:rsid w:val="00047E32"/>
    <w:rsid w:val="000535F7"/>
    <w:rsid w:val="000550E6"/>
    <w:rsid w:val="000611E5"/>
    <w:rsid w:val="0006397B"/>
    <w:rsid w:val="000675E0"/>
    <w:rsid w:val="000740E2"/>
    <w:rsid w:val="000762A7"/>
    <w:rsid w:val="0007644D"/>
    <w:rsid w:val="0008283B"/>
    <w:rsid w:val="00083F3D"/>
    <w:rsid w:val="00085FC0"/>
    <w:rsid w:val="000861D8"/>
    <w:rsid w:val="00095D1F"/>
    <w:rsid w:val="000A1A7D"/>
    <w:rsid w:val="000C1DDB"/>
    <w:rsid w:val="000C7E7A"/>
    <w:rsid w:val="000D1A3F"/>
    <w:rsid w:val="000D675E"/>
    <w:rsid w:val="000D7AF2"/>
    <w:rsid w:val="000E1CC5"/>
    <w:rsid w:val="000E2B36"/>
    <w:rsid w:val="000E2D0E"/>
    <w:rsid w:val="000F533D"/>
    <w:rsid w:val="000F5BEE"/>
    <w:rsid w:val="000F7D53"/>
    <w:rsid w:val="0010056A"/>
    <w:rsid w:val="00100C30"/>
    <w:rsid w:val="001057B6"/>
    <w:rsid w:val="00110026"/>
    <w:rsid w:val="0011635B"/>
    <w:rsid w:val="0013093A"/>
    <w:rsid w:val="00133B28"/>
    <w:rsid w:val="0014274E"/>
    <w:rsid w:val="00144D5B"/>
    <w:rsid w:val="00147266"/>
    <w:rsid w:val="001476E6"/>
    <w:rsid w:val="001519CB"/>
    <w:rsid w:val="00156E6D"/>
    <w:rsid w:val="00157C11"/>
    <w:rsid w:val="001663BD"/>
    <w:rsid w:val="001669D9"/>
    <w:rsid w:val="001728AD"/>
    <w:rsid w:val="00181F06"/>
    <w:rsid w:val="00187393"/>
    <w:rsid w:val="001916A8"/>
    <w:rsid w:val="00191D8E"/>
    <w:rsid w:val="001A0B47"/>
    <w:rsid w:val="001B17DB"/>
    <w:rsid w:val="001B2C4D"/>
    <w:rsid w:val="001B2C92"/>
    <w:rsid w:val="001B4799"/>
    <w:rsid w:val="001B50B5"/>
    <w:rsid w:val="001B6C2A"/>
    <w:rsid w:val="001C5DCA"/>
    <w:rsid w:val="001C5DDF"/>
    <w:rsid w:val="001C7475"/>
    <w:rsid w:val="001D19D6"/>
    <w:rsid w:val="001D205C"/>
    <w:rsid w:val="001D2C91"/>
    <w:rsid w:val="001D4F0F"/>
    <w:rsid w:val="001E6F68"/>
    <w:rsid w:val="001F1935"/>
    <w:rsid w:val="001F542F"/>
    <w:rsid w:val="001F64E8"/>
    <w:rsid w:val="00204B47"/>
    <w:rsid w:val="00213E90"/>
    <w:rsid w:val="00215FAC"/>
    <w:rsid w:val="002179AC"/>
    <w:rsid w:val="00225189"/>
    <w:rsid w:val="00245CFE"/>
    <w:rsid w:val="00251EF3"/>
    <w:rsid w:val="00253CE5"/>
    <w:rsid w:val="00253D47"/>
    <w:rsid w:val="00253DE6"/>
    <w:rsid w:val="002579C2"/>
    <w:rsid w:val="00261956"/>
    <w:rsid w:val="00261CD8"/>
    <w:rsid w:val="0026251A"/>
    <w:rsid w:val="00262AD2"/>
    <w:rsid w:val="00263B7E"/>
    <w:rsid w:val="00270FF8"/>
    <w:rsid w:val="0027147C"/>
    <w:rsid w:val="00280453"/>
    <w:rsid w:val="00282CB0"/>
    <w:rsid w:val="002852F6"/>
    <w:rsid w:val="00291B5E"/>
    <w:rsid w:val="002A3313"/>
    <w:rsid w:val="002A482B"/>
    <w:rsid w:val="002C3AD5"/>
    <w:rsid w:val="002C5D5B"/>
    <w:rsid w:val="002D7984"/>
    <w:rsid w:val="002E6FB9"/>
    <w:rsid w:val="002F1157"/>
    <w:rsid w:val="002F4478"/>
    <w:rsid w:val="002F5DC2"/>
    <w:rsid w:val="002F60EF"/>
    <w:rsid w:val="00312065"/>
    <w:rsid w:val="00320AB1"/>
    <w:rsid w:val="00332AC8"/>
    <w:rsid w:val="00333F81"/>
    <w:rsid w:val="003348F1"/>
    <w:rsid w:val="003429FD"/>
    <w:rsid w:val="00344C9C"/>
    <w:rsid w:val="00355617"/>
    <w:rsid w:val="00356480"/>
    <w:rsid w:val="003568B3"/>
    <w:rsid w:val="00370131"/>
    <w:rsid w:val="00374824"/>
    <w:rsid w:val="00374BE6"/>
    <w:rsid w:val="00375D8B"/>
    <w:rsid w:val="00380448"/>
    <w:rsid w:val="0038144A"/>
    <w:rsid w:val="00382662"/>
    <w:rsid w:val="00386484"/>
    <w:rsid w:val="00386AA8"/>
    <w:rsid w:val="00397BDC"/>
    <w:rsid w:val="003A16AF"/>
    <w:rsid w:val="003A33B2"/>
    <w:rsid w:val="003B0E60"/>
    <w:rsid w:val="003B7618"/>
    <w:rsid w:val="003C6570"/>
    <w:rsid w:val="003C7281"/>
    <w:rsid w:val="003E1B0E"/>
    <w:rsid w:val="003E5611"/>
    <w:rsid w:val="003E73C1"/>
    <w:rsid w:val="003F18C5"/>
    <w:rsid w:val="003F7984"/>
    <w:rsid w:val="004024CE"/>
    <w:rsid w:val="004035F7"/>
    <w:rsid w:val="004070CE"/>
    <w:rsid w:val="00407220"/>
    <w:rsid w:val="00410B87"/>
    <w:rsid w:val="00420D2D"/>
    <w:rsid w:val="004257A5"/>
    <w:rsid w:val="00432B5A"/>
    <w:rsid w:val="0043714A"/>
    <w:rsid w:val="00440835"/>
    <w:rsid w:val="00444AF3"/>
    <w:rsid w:val="00451E8E"/>
    <w:rsid w:val="00467236"/>
    <w:rsid w:val="00471807"/>
    <w:rsid w:val="00472DBB"/>
    <w:rsid w:val="004771A7"/>
    <w:rsid w:val="004809D0"/>
    <w:rsid w:val="00485868"/>
    <w:rsid w:val="004905A8"/>
    <w:rsid w:val="00492C15"/>
    <w:rsid w:val="004A2C19"/>
    <w:rsid w:val="004A38BD"/>
    <w:rsid w:val="004B4B5C"/>
    <w:rsid w:val="004B543A"/>
    <w:rsid w:val="004C1EB7"/>
    <w:rsid w:val="004C5C38"/>
    <w:rsid w:val="004D1F00"/>
    <w:rsid w:val="004D3062"/>
    <w:rsid w:val="004D7550"/>
    <w:rsid w:val="004E70C4"/>
    <w:rsid w:val="004E721E"/>
    <w:rsid w:val="004F1676"/>
    <w:rsid w:val="00500835"/>
    <w:rsid w:val="00501222"/>
    <w:rsid w:val="00503912"/>
    <w:rsid w:val="00512232"/>
    <w:rsid w:val="005161A1"/>
    <w:rsid w:val="00520ACB"/>
    <w:rsid w:val="00522C5E"/>
    <w:rsid w:val="005234F3"/>
    <w:rsid w:val="00523BC2"/>
    <w:rsid w:val="00531700"/>
    <w:rsid w:val="005327E2"/>
    <w:rsid w:val="00533139"/>
    <w:rsid w:val="005331E2"/>
    <w:rsid w:val="00540633"/>
    <w:rsid w:val="00540759"/>
    <w:rsid w:val="00545E2C"/>
    <w:rsid w:val="00550588"/>
    <w:rsid w:val="00554D43"/>
    <w:rsid w:val="00563ADB"/>
    <w:rsid w:val="00570EA7"/>
    <w:rsid w:val="005865AC"/>
    <w:rsid w:val="00592FC0"/>
    <w:rsid w:val="005934F9"/>
    <w:rsid w:val="005936BD"/>
    <w:rsid w:val="00597B83"/>
    <w:rsid w:val="005B459C"/>
    <w:rsid w:val="005D7F9E"/>
    <w:rsid w:val="005E7BB2"/>
    <w:rsid w:val="005F1CA1"/>
    <w:rsid w:val="0060687A"/>
    <w:rsid w:val="006074C4"/>
    <w:rsid w:val="00612821"/>
    <w:rsid w:val="006161F7"/>
    <w:rsid w:val="006211C3"/>
    <w:rsid w:val="00623805"/>
    <w:rsid w:val="00630E6E"/>
    <w:rsid w:val="006317C9"/>
    <w:rsid w:val="006321C0"/>
    <w:rsid w:val="00632D45"/>
    <w:rsid w:val="006365D6"/>
    <w:rsid w:val="006434A4"/>
    <w:rsid w:val="00646C9B"/>
    <w:rsid w:val="00652041"/>
    <w:rsid w:val="00655849"/>
    <w:rsid w:val="00661405"/>
    <w:rsid w:val="00665A63"/>
    <w:rsid w:val="00667FD7"/>
    <w:rsid w:val="00677A0D"/>
    <w:rsid w:val="00680F50"/>
    <w:rsid w:val="00684F77"/>
    <w:rsid w:val="0069120D"/>
    <w:rsid w:val="0069237E"/>
    <w:rsid w:val="006928AE"/>
    <w:rsid w:val="00693C9D"/>
    <w:rsid w:val="006973FD"/>
    <w:rsid w:val="006A3135"/>
    <w:rsid w:val="006A3939"/>
    <w:rsid w:val="006B1A83"/>
    <w:rsid w:val="006C1874"/>
    <w:rsid w:val="006C4018"/>
    <w:rsid w:val="006C46CE"/>
    <w:rsid w:val="006D184C"/>
    <w:rsid w:val="006D2AA4"/>
    <w:rsid w:val="006F1656"/>
    <w:rsid w:val="006F1E25"/>
    <w:rsid w:val="006F2679"/>
    <w:rsid w:val="006F3F00"/>
    <w:rsid w:val="006F69AB"/>
    <w:rsid w:val="007034B0"/>
    <w:rsid w:val="007037E6"/>
    <w:rsid w:val="007044A4"/>
    <w:rsid w:val="007116B7"/>
    <w:rsid w:val="00716557"/>
    <w:rsid w:val="00717420"/>
    <w:rsid w:val="00724582"/>
    <w:rsid w:val="007304CF"/>
    <w:rsid w:val="007306C9"/>
    <w:rsid w:val="00741561"/>
    <w:rsid w:val="00742D94"/>
    <w:rsid w:val="00747D09"/>
    <w:rsid w:val="00751A65"/>
    <w:rsid w:val="0075307A"/>
    <w:rsid w:val="00753AEC"/>
    <w:rsid w:val="00766EC3"/>
    <w:rsid w:val="00781D38"/>
    <w:rsid w:val="007838BE"/>
    <w:rsid w:val="00786042"/>
    <w:rsid w:val="00786D58"/>
    <w:rsid w:val="00794A6B"/>
    <w:rsid w:val="007968F3"/>
    <w:rsid w:val="007A01D2"/>
    <w:rsid w:val="007A1B6D"/>
    <w:rsid w:val="007A48B6"/>
    <w:rsid w:val="007B5BFF"/>
    <w:rsid w:val="007B69F2"/>
    <w:rsid w:val="007C2BC0"/>
    <w:rsid w:val="007C2FCB"/>
    <w:rsid w:val="007D2EDD"/>
    <w:rsid w:val="007E080B"/>
    <w:rsid w:val="007E5340"/>
    <w:rsid w:val="007E7AD1"/>
    <w:rsid w:val="007F01BB"/>
    <w:rsid w:val="007F0930"/>
    <w:rsid w:val="007F44BC"/>
    <w:rsid w:val="00802A76"/>
    <w:rsid w:val="008054E1"/>
    <w:rsid w:val="008112C5"/>
    <w:rsid w:val="008114A2"/>
    <w:rsid w:val="00813D02"/>
    <w:rsid w:val="008169ED"/>
    <w:rsid w:val="0082290E"/>
    <w:rsid w:val="00825D1B"/>
    <w:rsid w:val="00830A9A"/>
    <w:rsid w:val="008359F2"/>
    <w:rsid w:val="00845F50"/>
    <w:rsid w:val="00846801"/>
    <w:rsid w:val="00850E7E"/>
    <w:rsid w:val="00855D10"/>
    <w:rsid w:val="008563E7"/>
    <w:rsid w:val="0086053E"/>
    <w:rsid w:val="00860EAF"/>
    <w:rsid w:val="00861116"/>
    <w:rsid w:val="00862C9F"/>
    <w:rsid w:val="008650B4"/>
    <w:rsid w:val="00866CC3"/>
    <w:rsid w:val="00875A7C"/>
    <w:rsid w:val="00875C2A"/>
    <w:rsid w:val="00882DDD"/>
    <w:rsid w:val="00884703"/>
    <w:rsid w:val="00887DEC"/>
    <w:rsid w:val="008A13F8"/>
    <w:rsid w:val="008A4EA9"/>
    <w:rsid w:val="008A7AFB"/>
    <w:rsid w:val="008B1F35"/>
    <w:rsid w:val="008B45C7"/>
    <w:rsid w:val="008B48F5"/>
    <w:rsid w:val="008B5E35"/>
    <w:rsid w:val="008C0EC5"/>
    <w:rsid w:val="008C3A91"/>
    <w:rsid w:val="008D135D"/>
    <w:rsid w:val="008D15D4"/>
    <w:rsid w:val="008D2760"/>
    <w:rsid w:val="008D289C"/>
    <w:rsid w:val="008D5F9C"/>
    <w:rsid w:val="008D6567"/>
    <w:rsid w:val="008E0AF7"/>
    <w:rsid w:val="008E4560"/>
    <w:rsid w:val="008E7373"/>
    <w:rsid w:val="008F3EFB"/>
    <w:rsid w:val="009006AB"/>
    <w:rsid w:val="00900B92"/>
    <w:rsid w:val="0090583A"/>
    <w:rsid w:val="00905EEA"/>
    <w:rsid w:val="00912283"/>
    <w:rsid w:val="009146F0"/>
    <w:rsid w:val="00916297"/>
    <w:rsid w:val="00920585"/>
    <w:rsid w:val="009300B4"/>
    <w:rsid w:val="00930D3B"/>
    <w:rsid w:val="00936C7A"/>
    <w:rsid w:val="00937626"/>
    <w:rsid w:val="00941588"/>
    <w:rsid w:val="0094241F"/>
    <w:rsid w:val="0094420D"/>
    <w:rsid w:val="00944930"/>
    <w:rsid w:val="00950157"/>
    <w:rsid w:val="009515B6"/>
    <w:rsid w:val="00952D20"/>
    <w:rsid w:val="00953787"/>
    <w:rsid w:val="009547BB"/>
    <w:rsid w:val="0095592A"/>
    <w:rsid w:val="00961997"/>
    <w:rsid w:val="00965801"/>
    <w:rsid w:val="00970949"/>
    <w:rsid w:val="009710D7"/>
    <w:rsid w:val="009733C6"/>
    <w:rsid w:val="009745D8"/>
    <w:rsid w:val="00980034"/>
    <w:rsid w:val="00980867"/>
    <w:rsid w:val="009814F4"/>
    <w:rsid w:val="00987622"/>
    <w:rsid w:val="00991122"/>
    <w:rsid w:val="0099282F"/>
    <w:rsid w:val="00996376"/>
    <w:rsid w:val="009974A4"/>
    <w:rsid w:val="009A22C9"/>
    <w:rsid w:val="009B0F03"/>
    <w:rsid w:val="009B7758"/>
    <w:rsid w:val="009D136C"/>
    <w:rsid w:val="009D199B"/>
    <w:rsid w:val="009D64E5"/>
    <w:rsid w:val="009D732F"/>
    <w:rsid w:val="009E6E07"/>
    <w:rsid w:val="009F4252"/>
    <w:rsid w:val="009F4835"/>
    <w:rsid w:val="00A01110"/>
    <w:rsid w:val="00A13476"/>
    <w:rsid w:val="00A21054"/>
    <w:rsid w:val="00A27B9F"/>
    <w:rsid w:val="00A405BF"/>
    <w:rsid w:val="00A46867"/>
    <w:rsid w:val="00A5003C"/>
    <w:rsid w:val="00A510EA"/>
    <w:rsid w:val="00A523BE"/>
    <w:rsid w:val="00A5360B"/>
    <w:rsid w:val="00A5424B"/>
    <w:rsid w:val="00A56C32"/>
    <w:rsid w:val="00A7537E"/>
    <w:rsid w:val="00A873A9"/>
    <w:rsid w:val="00A93418"/>
    <w:rsid w:val="00A97D00"/>
    <w:rsid w:val="00AA5CB6"/>
    <w:rsid w:val="00AB078E"/>
    <w:rsid w:val="00AB0FE5"/>
    <w:rsid w:val="00AB132C"/>
    <w:rsid w:val="00AB161E"/>
    <w:rsid w:val="00AB3E3D"/>
    <w:rsid w:val="00AC679E"/>
    <w:rsid w:val="00AD1FA3"/>
    <w:rsid w:val="00AE0B4E"/>
    <w:rsid w:val="00AE0F4A"/>
    <w:rsid w:val="00AE14D2"/>
    <w:rsid w:val="00AE510A"/>
    <w:rsid w:val="00AF2A5B"/>
    <w:rsid w:val="00B124F2"/>
    <w:rsid w:val="00B13D2B"/>
    <w:rsid w:val="00B15076"/>
    <w:rsid w:val="00B16FD6"/>
    <w:rsid w:val="00B212A5"/>
    <w:rsid w:val="00B23D33"/>
    <w:rsid w:val="00B2710B"/>
    <w:rsid w:val="00B27834"/>
    <w:rsid w:val="00B350F5"/>
    <w:rsid w:val="00B366C6"/>
    <w:rsid w:val="00B37306"/>
    <w:rsid w:val="00B37E7B"/>
    <w:rsid w:val="00B40217"/>
    <w:rsid w:val="00B40E01"/>
    <w:rsid w:val="00B43B8D"/>
    <w:rsid w:val="00B545BA"/>
    <w:rsid w:val="00B54768"/>
    <w:rsid w:val="00B56496"/>
    <w:rsid w:val="00B61206"/>
    <w:rsid w:val="00B63385"/>
    <w:rsid w:val="00B66EAD"/>
    <w:rsid w:val="00B7057A"/>
    <w:rsid w:val="00B72AC0"/>
    <w:rsid w:val="00B760DB"/>
    <w:rsid w:val="00B928AF"/>
    <w:rsid w:val="00B933FC"/>
    <w:rsid w:val="00BA6ABE"/>
    <w:rsid w:val="00BA7138"/>
    <w:rsid w:val="00BA717E"/>
    <w:rsid w:val="00BB2DB6"/>
    <w:rsid w:val="00BB7B3E"/>
    <w:rsid w:val="00BC4451"/>
    <w:rsid w:val="00BC5528"/>
    <w:rsid w:val="00BE226B"/>
    <w:rsid w:val="00BE3321"/>
    <w:rsid w:val="00BE4BD5"/>
    <w:rsid w:val="00BF04A9"/>
    <w:rsid w:val="00BF163A"/>
    <w:rsid w:val="00BF7195"/>
    <w:rsid w:val="00C1597C"/>
    <w:rsid w:val="00C2457C"/>
    <w:rsid w:val="00C2666D"/>
    <w:rsid w:val="00C32669"/>
    <w:rsid w:val="00C368F6"/>
    <w:rsid w:val="00C4202D"/>
    <w:rsid w:val="00C44E66"/>
    <w:rsid w:val="00C47C5C"/>
    <w:rsid w:val="00C5273B"/>
    <w:rsid w:val="00C53F35"/>
    <w:rsid w:val="00C5789F"/>
    <w:rsid w:val="00C641BE"/>
    <w:rsid w:val="00C7519C"/>
    <w:rsid w:val="00C76A83"/>
    <w:rsid w:val="00C83B4C"/>
    <w:rsid w:val="00C94172"/>
    <w:rsid w:val="00C95E8E"/>
    <w:rsid w:val="00CA5778"/>
    <w:rsid w:val="00CA7889"/>
    <w:rsid w:val="00CA7B7D"/>
    <w:rsid w:val="00CB73DB"/>
    <w:rsid w:val="00CB76AF"/>
    <w:rsid w:val="00CC07A7"/>
    <w:rsid w:val="00CC2710"/>
    <w:rsid w:val="00CC6A18"/>
    <w:rsid w:val="00CC7BEA"/>
    <w:rsid w:val="00CD49F0"/>
    <w:rsid w:val="00CE1784"/>
    <w:rsid w:val="00CE71D1"/>
    <w:rsid w:val="00CE7F8C"/>
    <w:rsid w:val="00CF05C0"/>
    <w:rsid w:val="00CF38A4"/>
    <w:rsid w:val="00CF6642"/>
    <w:rsid w:val="00D03A21"/>
    <w:rsid w:val="00D07061"/>
    <w:rsid w:val="00D15DB2"/>
    <w:rsid w:val="00D26952"/>
    <w:rsid w:val="00D4133C"/>
    <w:rsid w:val="00D4366F"/>
    <w:rsid w:val="00D43B9B"/>
    <w:rsid w:val="00D4550F"/>
    <w:rsid w:val="00D522C5"/>
    <w:rsid w:val="00D56965"/>
    <w:rsid w:val="00D6314B"/>
    <w:rsid w:val="00D638F1"/>
    <w:rsid w:val="00D71265"/>
    <w:rsid w:val="00D73390"/>
    <w:rsid w:val="00D737EA"/>
    <w:rsid w:val="00D764E4"/>
    <w:rsid w:val="00D80868"/>
    <w:rsid w:val="00D92097"/>
    <w:rsid w:val="00DA10D6"/>
    <w:rsid w:val="00DA28C2"/>
    <w:rsid w:val="00DA43C8"/>
    <w:rsid w:val="00DA4E21"/>
    <w:rsid w:val="00DB0E3E"/>
    <w:rsid w:val="00DB1418"/>
    <w:rsid w:val="00DB35DB"/>
    <w:rsid w:val="00DB6BED"/>
    <w:rsid w:val="00DB7563"/>
    <w:rsid w:val="00DC3711"/>
    <w:rsid w:val="00DD3091"/>
    <w:rsid w:val="00DD5237"/>
    <w:rsid w:val="00DE113E"/>
    <w:rsid w:val="00DE4AEA"/>
    <w:rsid w:val="00DF0BE5"/>
    <w:rsid w:val="00DF666C"/>
    <w:rsid w:val="00E0085E"/>
    <w:rsid w:val="00E065FA"/>
    <w:rsid w:val="00E14223"/>
    <w:rsid w:val="00E15890"/>
    <w:rsid w:val="00E21705"/>
    <w:rsid w:val="00E25A95"/>
    <w:rsid w:val="00E36B10"/>
    <w:rsid w:val="00E40968"/>
    <w:rsid w:val="00E45A2B"/>
    <w:rsid w:val="00E47152"/>
    <w:rsid w:val="00E67383"/>
    <w:rsid w:val="00E702A5"/>
    <w:rsid w:val="00E735FD"/>
    <w:rsid w:val="00E86E72"/>
    <w:rsid w:val="00E9162C"/>
    <w:rsid w:val="00E94F71"/>
    <w:rsid w:val="00EA16D5"/>
    <w:rsid w:val="00EA389A"/>
    <w:rsid w:val="00EA656F"/>
    <w:rsid w:val="00EB006F"/>
    <w:rsid w:val="00EB4C86"/>
    <w:rsid w:val="00EB6F54"/>
    <w:rsid w:val="00EB7F01"/>
    <w:rsid w:val="00EC1254"/>
    <w:rsid w:val="00EC1803"/>
    <w:rsid w:val="00EC3FE3"/>
    <w:rsid w:val="00EE5375"/>
    <w:rsid w:val="00EF22A9"/>
    <w:rsid w:val="00EF6BBF"/>
    <w:rsid w:val="00F071B8"/>
    <w:rsid w:val="00F12492"/>
    <w:rsid w:val="00F126C4"/>
    <w:rsid w:val="00F13C0D"/>
    <w:rsid w:val="00F179F3"/>
    <w:rsid w:val="00F17A71"/>
    <w:rsid w:val="00F20FB0"/>
    <w:rsid w:val="00F26FF9"/>
    <w:rsid w:val="00F35048"/>
    <w:rsid w:val="00F36E6A"/>
    <w:rsid w:val="00F45607"/>
    <w:rsid w:val="00F4749B"/>
    <w:rsid w:val="00F54057"/>
    <w:rsid w:val="00F657DB"/>
    <w:rsid w:val="00F73BA8"/>
    <w:rsid w:val="00F751F5"/>
    <w:rsid w:val="00F76295"/>
    <w:rsid w:val="00F859D3"/>
    <w:rsid w:val="00F87F3B"/>
    <w:rsid w:val="00F909B8"/>
    <w:rsid w:val="00FA1F14"/>
    <w:rsid w:val="00FB0BB2"/>
    <w:rsid w:val="00FB34AD"/>
    <w:rsid w:val="00FB62D7"/>
    <w:rsid w:val="00FC47E9"/>
    <w:rsid w:val="00FC6A09"/>
    <w:rsid w:val="00FD18CD"/>
    <w:rsid w:val="00FD1C78"/>
    <w:rsid w:val="00FD604E"/>
    <w:rsid w:val="00FD750A"/>
    <w:rsid w:val="00FE102B"/>
    <w:rsid w:val="00FE3D73"/>
    <w:rsid w:val="00FE4E83"/>
    <w:rsid w:val="00FE7D14"/>
    <w:rsid w:val="00FF3477"/>
    <w:rsid w:val="00FF3714"/>
    <w:rsid w:val="00FF69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8D2204"/>
  <w15:chartTrackingRefBased/>
  <w15:docId w15:val="{420C7F16-8D88-4860-BC8F-90D8452FD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04CF"/>
    <w:pPr>
      <w:tabs>
        <w:tab w:val="center" w:pos="4680"/>
        <w:tab w:val="right" w:pos="9360"/>
      </w:tabs>
    </w:pPr>
  </w:style>
  <w:style w:type="character" w:customStyle="1" w:styleId="HeaderChar">
    <w:name w:val="Header Char"/>
    <w:basedOn w:val="DefaultParagraphFont"/>
    <w:link w:val="Header"/>
    <w:uiPriority w:val="99"/>
    <w:rsid w:val="007304CF"/>
  </w:style>
  <w:style w:type="paragraph" w:styleId="Footer">
    <w:name w:val="footer"/>
    <w:basedOn w:val="Normal"/>
    <w:link w:val="FooterChar"/>
    <w:uiPriority w:val="99"/>
    <w:unhideWhenUsed/>
    <w:rsid w:val="007304CF"/>
    <w:pPr>
      <w:tabs>
        <w:tab w:val="center" w:pos="4680"/>
        <w:tab w:val="right" w:pos="9360"/>
      </w:tabs>
    </w:pPr>
  </w:style>
  <w:style w:type="character" w:customStyle="1" w:styleId="FooterChar">
    <w:name w:val="Footer Char"/>
    <w:basedOn w:val="DefaultParagraphFont"/>
    <w:link w:val="Footer"/>
    <w:uiPriority w:val="99"/>
    <w:rsid w:val="007304CF"/>
  </w:style>
  <w:style w:type="paragraph" w:styleId="NoSpacing">
    <w:name w:val="No Spacing"/>
    <w:uiPriority w:val="1"/>
    <w:qFormat/>
    <w:rsid w:val="007304CF"/>
    <w:rPr>
      <w:sz w:val="22"/>
      <w:szCs w:val="22"/>
    </w:rPr>
  </w:style>
  <w:style w:type="paragraph" w:styleId="ListParagraph">
    <w:name w:val="List Paragraph"/>
    <w:basedOn w:val="Normal"/>
    <w:uiPriority w:val="34"/>
    <w:qFormat/>
    <w:rsid w:val="00825D1B"/>
    <w:pPr>
      <w:ind w:left="720"/>
      <w:contextualSpacing/>
    </w:pPr>
  </w:style>
  <w:style w:type="character" w:styleId="Hyperlink">
    <w:name w:val="Hyperlink"/>
    <w:basedOn w:val="DefaultParagraphFont"/>
    <w:uiPriority w:val="99"/>
    <w:unhideWhenUsed/>
    <w:rsid w:val="00F54057"/>
    <w:rPr>
      <w:color w:val="0563C1" w:themeColor="hyperlink"/>
      <w:u w:val="single"/>
    </w:rPr>
  </w:style>
  <w:style w:type="character" w:styleId="UnresolvedMention">
    <w:name w:val="Unresolved Mention"/>
    <w:basedOn w:val="DefaultParagraphFont"/>
    <w:uiPriority w:val="99"/>
    <w:semiHidden/>
    <w:unhideWhenUsed/>
    <w:rsid w:val="00F54057"/>
    <w:rPr>
      <w:color w:val="605E5C"/>
      <w:shd w:val="clear" w:color="auto" w:fill="E1DFDD"/>
    </w:rPr>
  </w:style>
  <w:style w:type="paragraph" w:customStyle="1" w:styleId="Caption1">
    <w:name w:val="Caption1"/>
    <w:basedOn w:val="Normal"/>
    <w:next w:val="Normal"/>
    <w:uiPriority w:val="35"/>
    <w:unhideWhenUsed/>
    <w:qFormat/>
    <w:rsid w:val="0007644D"/>
    <w:pPr>
      <w:spacing w:after="200"/>
    </w:pPr>
    <w:rPr>
      <w:rFonts w:eastAsia="MS Mincho"/>
      <w:i/>
      <w:iCs/>
      <w:color w:val="1F497D"/>
      <w:sz w:val="18"/>
      <w:szCs w:val="18"/>
    </w:rPr>
  </w:style>
  <w:style w:type="paragraph" w:styleId="FootnoteText">
    <w:name w:val="footnote text"/>
    <w:basedOn w:val="Normal"/>
    <w:link w:val="FootnoteTextChar"/>
    <w:uiPriority w:val="99"/>
    <w:unhideWhenUsed/>
    <w:rsid w:val="0069120D"/>
    <w:rPr>
      <w:sz w:val="20"/>
      <w:szCs w:val="20"/>
    </w:rPr>
  </w:style>
  <w:style w:type="character" w:customStyle="1" w:styleId="FootnoteTextChar">
    <w:name w:val="Footnote Text Char"/>
    <w:basedOn w:val="DefaultParagraphFont"/>
    <w:link w:val="FootnoteText"/>
    <w:uiPriority w:val="99"/>
    <w:rsid w:val="0069120D"/>
    <w:rPr>
      <w:sz w:val="20"/>
      <w:szCs w:val="20"/>
    </w:rPr>
  </w:style>
  <w:style w:type="character" w:styleId="FootnoteReference">
    <w:name w:val="footnote reference"/>
    <w:basedOn w:val="DefaultParagraphFont"/>
    <w:uiPriority w:val="99"/>
    <w:semiHidden/>
    <w:unhideWhenUsed/>
    <w:rsid w:val="0069120D"/>
    <w:rPr>
      <w:vertAlign w:val="superscript"/>
    </w:rPr>
  </w:style>
  <w:style w:type="table" w:styleId="TableGrid">
    <w:name w:val="Table Grid"/>
    <w:basedOn w:val="TableNormal"/>
    <w:uiPriority w:val="39"/>
    <w:rsid w:val="00253DE6"/>
    <w:rPr>
      <w:rFonts w:eastAsia="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934F9"/>
    <w:rPr>
      <w:rFonts w:eastAsia="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13476"/>
    <w:pPr>
      <w:spacing w:after="200"/>
    </w:pPr>
    <w:rPr>
      <w:rFonts w:eastAsiaTheme="minorEastAsia"/>
      <w:i/>
      <w:iCs/>
      <w:color w:val="44546A" w:themeColor="text2"/>
      <w:sz w:val="18"/>
      <w:szCs w:val="18"/>
    </w:rPr>
  </w:style>
  <w:style w:type="character" w:styleId="CommentReference">
    <w:name w:val="annotation reference"/>
    <w:basedOn w:val="DefaultParagraphFont"/>
    <w:uiPriority w:val="99"/>
    <w:semiHidden/>
    <w:unhideWhenUsed/>
    <w:rsid w:val="00E15890"/>
    <w:rPr>
      <w:sz w:val="16"/>
      <w:szCs w:val="16"/>
    </w:rPr>
  </w:style>
  <w:style w:type="paragraph" w:styleId="CommentText">
    <w:name w:val="annotation text"/>
    <w:basedOn w:val="Normal"/>
    <w:link w:val="CommentTextChar"/>
    <w:uiPriority w:val="99"/>
    <w:unhideWhenUsed/>
    <w:rsid w:val="00E15890"/>
    <w:rPr>
      <w:sz w:val="20"/>
      <w:szCs w:val="20"/>
    </w:rPr>
  </w:style>
  <w:style w:type="character" w:customStyle="1" w:styleId="CommentTextChar">
    <w:name w:val="Comment Text Char"/>
    <w:basedOn w:val="DefaultParagraphFont"/>
    <w:link w:val="CommentText"/>
    <w:uiPriority w:val="99"/>
    <w:rsid w:val="00E15890"/>
    <w:rPr>
      <w:sz w:val="20"/>
      <w:szCs w:val="20"/>
    </w:rPr>
  </w:style>
  <w:style w:type="paragraph" w:styleId="CommentSubject">
    <w:name w:val="annotation subject"/>
    <w:basedOn w:val="CommentText"/>
    <w:next w:val="CommentText"/>
    <w:link w:val="CommentSubjectChar"/>
    <w:uiPriority w:val="99"/>
    <w:semiHidden/>
    <w:unhideWhenUsed/>
    <w:rsid w:val="00E15890"/>
    <w:rPr>
      <w:b/>
      <w:bCs/>
    </w:rPr>
  </w:style>
  <w:style w:type="character" w:customStyle="1" w:styleId="CommentSubjectChar">
    <w:name w:val="Comment Subject Char"/>
    <w:basedOn w:val="CommentTextChar"/>
    <w:link w:val="CommentSubject"/>
    <w:uiPriority w:val="99"/>
    <w:semiHidden/>
    <w:rsid w:val="00E15890"/>
    <w:rPr>
      <w:b/>
      <w:bCs/>
      <w:sz w:val="20"/>
      <w:szCs w:val="20"/>
    </w:rPr>
  </w:style>
  <w:style w:type="paragraph" w:styleId="Revision">
    <w:name w:val="Revision"/>
    <w:hidden/>
    <w:uiPriority w:val="99"/>
    <w:semiHidden/>
    <w:rsid w:val="006321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chart" Target="charts/chart1.xml"/><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chart" Target="charts/chart2.xm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7.emf"/><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hyperlink" Target="https://www.fiducientadvisor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FiducientAdvisors.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cid:image008.png@01D50990.CC4237D0" TargetMode="External"/><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2" Type="http://schemas.openxmlformats.org/officeDocument/2006/relationships/image" Target="cid:image008.png@01D50990.CC4237D0" TargetMode="External"/><Relationship Id="rId1" Type="http://schemas.openxmlformats.org/officeDocument/2006/relationships/image" Target="media/image1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accent1"/>
                </a:solidFill>
                <a:latin typeface="Georgia" panose="02040502050405020303" pitchFamily="18" charset="0"/>
                <a:ea typeface="+mn-ea"/>
                <a:cs typeface="+mn-cs"/>
              </a:defRPr>
            </a:pPr>
            <a:r>
              <a:rPr lang="en-US" sz="1000" b="1">
                <a:solidFill>
                  <a:schemeClr val="accent1"/>
                </a:solidFill>
                <a:latin typeface="Georgia" panose="02040502050405020303" pitchFamily="18" charset="0"/>
              </a:rPr>
              <a:t>S&amp;P 500 Cyclically-Adjusted</a:t>
            </a:r>
            <a:r>
              <a:rPr lang="en-US" sz="1000" b="1" baseline="0">
                <a:solidFill>
                  <a:schemeClr val="accent1"/>
                </a:solidFill>
                <a:latin typeface="Georgia" panose="02040502050405020303" pitchFamily="18" charset="0"/>
              </a:rPr>
              <a:t> Earnings Yield</a:t>
            </a:r>
            <a:endParaRPr lang="en-US" sz="1000" b="1">
              <a:solidFill>
                <a:schemeClr val="accent1"/>
              </a:solidFill>
              <a:latin typeface="Georgia" panose="02040502050405020303" pitchFamily="18"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Georgia" panose="02040502050405020303" pitchFamily="18" charset="0"/>
              <a:ea typeface="+mn-ea"/>
              <a:cs typeface="+mn-cs"/>
            </a:defRPr>
          </a:pPr>
          <a:endParaRPr lang="en-US"/>
        </a:p>
      </c:txPr>
    </c:title>
    <c:autoTitleDeleted val="0"/>
    <c:plotArea>
      <c:layout>
        <c:manualLayout>
          <c:layoutTarget val="inner"/>
          <c:xMode val="edge"/>
          <c:yMode val="edge"/>
          <c:x val="7.0255386287141189E-2"/>
          <c:y val="0.12219814485042231"/>
          <c:w val="0.90750554902074088"/>
          <c:h val="0.63053687185756802"/>
        </c:manualLayout>
      </c:layout>
      <c:lineChart>
        <c:grouping val="standard"/>
        <c:varyColors val="0"/>
        <c:ser>
          <c:idx val="0"/>
          <c:order val="0"/>
          <c:tx>
            <c:strRef>
              <c:f>'Earnings Yield Charts'!$D$2</c:f>
              <c:strCache>
                <c:ptCount val="1"/>
                <c:pt idx="0">
                  <c:v>Yield</c:v>
                </c:pt>
              </c:strCache>
            </c:strRef>
          </c:tx>
          <c:spPr>
            <a:ln w="28575" cap="rnd">
              <a:solidFill>
                <a:schemeClr val="accent1"/>
              </a:solidFill>
              <a:round/>
            </a:ln>
            <a:effectLst/>
          </c:spPr>
          <c:marker>
            <c:symbol val="none"/>
          </c:marker>
          <c:cat>
            <c:strRef>
              <c:f>'Earnings Yield Charts'!$C$3:$C$25</c:f>
              <c:strCach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 YTD</c:v>
                </c:pt>
              </c:strCache>
            </c:strRef>
          </c:cat>
          <c:val>
            <c:numRef>
              <c:f>'Earnings Yield Charts'!$D$3:$D$25</c:f>
              <c:numCache>
                <c:formatCode>0.0%</c:formatCode>
                <c:ptCount val="23"/>
                <c:pt idx="0">
                  <c:v>6.4055356647322315E-2</c:v>
                </c:pt>
                <c:pt idx="1">
                  <c:v>6.7151198519277422E-2</c:v>
                </c:pt>
                <c:pt idx="2">
                  <c:v>6.7622692483912283E-2</c:v>
                </c:pt>
                <c:pt idx="3">
                  <c:v>6.6074914740209323E-2</c:v>
                </c:pt>
                <c:pt idx="4">
                  <c:v>6.8547420649872404E-2</c:v>
                </c:pt>
                <c:pt idx="5">
                  <c:v>7.4353604462962686E-2</c:v>
                </c:pt>
                <c:pt idx="6">
                  <c:v>8.4778187283433892E-2</c:v>
                </c:pt>
                <c:pt idx="7">
                  <c:v>7.9214449796810804E-2</c:v>
                </c:pt>
                <c:pt idx="8">
                  <c:v>8.1268717328238926E-2</c:v>
                </c:pt>
                <c:pt idx="9">
                  <c:v>8.4088850883349719E-2</c:v>
                </c:pt>
                <c:pt idx="10">
                  <c:v>7.1530605436749273E-2</c:v>
                </c:pt>
                <c:pt idx="11">
                  <c:v>6.2880889408095442E-2</c:v>
                </c:pt>
                <c:pt idx="12">
                  <c:v>6.3036776544757478E-2</c:v>
                </c:pt>
                <c:pt idx="13">
                  <c:v>6.4035898940996816E-2</c:v>
                </c:pt>
                <c:pt idx="14">
                  <c:v>5.8149986472223025E-2</c:v>
                </c:pt>
                <c:pt idx="15">
                  <c:v>6.1043539385402523E-2</c:v>
                </c:pt>
                <c:pt idx="16">
                  <c:v>5.5607203434166808E-2</c:v>
                </c:pt>
                <c:pt idx="17">
                  <c:v>5.3540986721698935E-2</c:v>
                </c:pt>
                <c:pt idx="18">
                  <c:v>5.5512519116126535E-2</c:v>
                </c:pt>
                <c:pt idx="19">
                  <c:v>6.4308618914018068E-2</c:v>
                </c:pt>
                <c:pt idx="20">
                  <c:v>5.7118327112833933E-2</c:v>
                </c:pt>
                <c:pt idx="21">
                  <c:v>5.4027349631251109E-2</c:v>
                </c:pt>
                <c:pt idx="22">
                  <c:v>5.1140023161166726E-2</c:v>
                </c:pt>
              </c:numCache>
            </c:numRef>
          </c:val>
          <c:smooth val="0"/>
          <c:extLst>
            <c:ext xmlns:c16="http://schemas.microsoft.com/office/drawing/2014/chart" uri="{C3380CC4-5D6E-409C-BE32-E72D297353CC}">
              <c16:uniqueId val="{00000000-EEB2-404D-BBC5-156F98DD93FB}"/>
            </c:ext>
          </c:extLst>
        </c:ser>
        <c:dLbls>
          <c:showLegendKey val="0"/>
          <c:showVal val="0"/>
          <c:showCatName val="0"/>
          <c:showSerName val="0"/>
          <c:showPercent val="0"/>
          <c:showBubbleSize val="0"/>
        </c:dLbls>
        <c:smooth val="0"/>
        <c:axId val="1818585135"/>
        <c:axId val="11562704"/>
      </c:lineChart>
      <c:catAx>
        <c:axId val="1818585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562704"/>
        <c:crosses val="autoZero"/>
        <c:auto val="1"/>
        <c:lblAlgn val="ctr"/>
        <c:lblOffset val="100"/>
        <c:noMultiLvlLbl val="0"/>
      </c:catAx>
      <c:valAx>
        <c:axId val="11562704"/>
        <c:scaling>
          <c:orientation val="minMax"/>
          <c:min val="4.0000000000000008E-2"/>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1858513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accent1"/>
                </a:solidFill>
                <a:latin typeface="Georgia" panose="02040502050405020303" pitchFamily="18" charset="0"/>
                <a:ea typeface="+mn-ea"/>
                <a:cs typeface="+mn-cs"/>
              </a:defRPr>
            </a:pPr>
            <a:r>
              <a:rPr lang="en-US" sz="1000" b="1">
                <a:solidFill>
                  <a:schemeClr val="accent1"/>
                </a:solidFill>
                <a:latin typeface="Georgia" panose="02040502050405020303" pitchFamily="18" charset="0"/>
              </a:rPr>
              <a:t>MSCI</a:t>
            </a:r>
            <a:r>
              <a:rPr lang="en-US" sz="1000" b="1" baseline="0">
                <a:solidFill>
                  <a:schemeClr val="accent1"/>
                </a:solidFill>
                <a:latin typeface="Georgia" panose="02040502050405020303" pitchFamily="18" charset="0"/>
              </a:rPr>
              <a:t> EAFE </a:t>
            </a:r>
            <a:r>
              <a:rPr lang="en-US" sz="1000" b="1">
                <a:solidFill>
                  <a:schemeClr val="accent1"/>
                </a:solidFill>
                <a:latin typeface="Georgia" panose="02040502050405020303" pitchFamily="18" charset="0"/>
              </a:rPr>
              <a:t>Cyclically-Adjusted</a:t>
            </a:r>
            <a:r>
              <a:rPr lang="en-US" sz="1000" b="1" baseline="0">
                <a:solidFill>
                  <a:schemeClr val="accent1"/>
                </a:solidFill>
                <a:latin typeface="Georgia" panose="02040502050405020303" pitchFamily="18" charset="0"/>
              </a:rPr>
              <a:t> Earnings Yield</a:t>
            </a:r>
            <a:endParaRPr lang="en-US" sz="1000" b="1">
              <a:solidFill>
                <a:schemeClr val="accent1"/>
              </a:solidFill>
              <a:latin typeface="Georgia" panose="02040502050405020303" pitchFamily="18"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Georgia" panose="02040502050405020303" pitchFamily="18" charset="0"/>
              <a:ea typeface="+mn-ea"/>
              <a:cs typeface="+mn-cs"/>
            </a:defRPr>
          </a:pPr>
          <a:endParaRPr lang="en-US"/>
        </a:p>
      </c:txPr>
    </c:title>
    <c:autoTitleDeleted val="0"/>
    <c:plotArea>
      <c:layout>
        <c:manualLayout>
          <c:layoutTarget val="inner"/>
          <c:xMode val="edge"/>
          <c:yMode val="edge"/>
          <c:x val="7.0255386287141189E-2"/>
          <c:y val="0.12219814485042231"/>
          <c:w val="0.90750554902074088"/>
          <c:h val="0.67546954450857133"/>
        </c:manualLayout>
      </c:layout>
      <c:lineChart>
        <c:grouping val="standard"/>
        <c:varyColors val="0"/>
        <c:ser>
          <c:idx val="0"/>
          <c:order val="0"/>
          <c:tx>
            <c:strRef>
              <c:f>'Earnings Yield Charts'!$D$2</c:f>
              <c:strCache>
                <c:ptCount val="1"/>
                <c:pt idx="0">
                  <c:v>Yield</c:v>
                </c:pt>
              </c:strCache>
            </c:strRef>
          </c:tx>
          <c:spPr>
            <a:ln w="28575" cap="rnd">
              <a:solidFill>
                <a:schemeClr val="accent1"/>
              </a:solidFill>
              <a:round/>
            </a:ln>
            <a:effectLst/>
          </c:spPr>
          <c:marker>
            <c:symbol val="none"/>
          </c:marker>
          <c:cat>
            <c:strRef>
              <c:f>'Earnings Yield Charts'!$C$34:$C$54</c:f>
              <c:strCache>
                <c:ptCount val="21"/>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 YTD</c:v>
                </c:pt>
              </c:strCache>
            </c:strRef>
          </c:cat>
          <c:val>
            <c:numRef>
              <c:f>'Earnings Yield Charts'!$D$34:$D$54</c:f>
              <c:numCache>
                <c:formatCode>0.0%</c:formatCode>
                <c:ptCount val="21"/>
                <c:pt idx="0">
                  <c:v>8.2830409362325774E-2</c:v>
                </c:pt>
                <c:pt idx="1">
                  <c:v>7.6350425591060533E-2</c:v>
                </c:pt>
                <c:pt idx="2">
                  <c:v>8.1035648458337883E-2</c:v>
                </c:pt>
                <c:pt idx="3">
                  <c:v>0.1056446159233253</c:v>
                </c:pt>
                <c:pt idx="4">
                  <c:v>0.10046263951561873</c:v>
                </c:pt>
                <c:pt idx="5">
                  <c:v>9.684235242355177E-2</c:v>
                </c:pt>
                <c:pt idx="6">
                  <c:v>0.10964877788385152</c:v>
                </c:pt>
                <c:pt idx="7">
                  <c:v>0.10429814267590953</c:v>
                </c:pt>
                <c:pt idx="8">
                  <c:v>8.9655799998884511E-2</c:v>
                </c:pt>
                <c:pt idx="9">
                  <c:v>8.8823925654782698E-2</c:v>
                </c:pt>
                <c:pt idx="10">
                  <c:v>8.9548915957343045E-2</c:v>
                </c:pt>
                <c:pt idx="11">
                  <c:v>9.3877888030665435E-2</c:v>
                </c:pt>
                <c:pt idx="12">
                  <c:v>7.8450675221459321E-2</c:v>
                </c:pt>
                <c:pt idx="13">
                  <c:v>8.692550272093813E-2</c:v>
                </c:pt>
                <c:pt idx="14">
                  <c:v>8.0677000357798567E-2</c:v>
                </c:pt>
                <c:pt idx="15">
                  <c:v>7.7898257211180599E-2</c:v>
                </c:pt>
                <c:pt idx="16">
                  <c:v>8.1776618188197148E-2</c:v>
                </c:pt>
                <c:pt idx="17">
                  <c:v>9.4288414777011775E-2</c:v>
                </c:pt>
                <c:pt idx="18">
                  <c:v>8.538489590992504E-2</c:v>
                </c:pt>
                <c:pt idx="19">
                  <c:v>8.813429671354589E-2</c:v>
                </c:pt>
                <c:pt idx="20">
                  <c:v>7.6963288292153154E-2</c:v>
                </c:pt>
              </c:numCache>
            </c:numRef>
          </c:val>
          <c:smooth val="0"/>
          <c:extLst>
            <c:ext xmlns:c16="http://schemas.microsoft.com/office/drawing/2014/chart" uri="{C3380CC4-5D6E-409C-BE32-E72D297353CC}">
              <c16:uniqueId val="{00000000-1746-49CB-8A27-D24780A17E89}"/>
            </c:ext>
          </c:extLst>
        </c:ser>
        <c:dLbls>
          <c:showLegendKey val="0"/>
          <c:showVal val="0"/>
          <c:showCatName val="0"/>
          <c:showSerName val="0"/>
          <c:showPercent val="0"/>
          <c:showBubbleSize val="0"/>
        </c:dLbls>
        <c:smooth val="0"/>
        <c:axId val="1818585135"/>
        <c:axId val="11562704"/>
      </c:lineChart>
      <c:catAx>
        <c:axId val="1818585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562704"/>
        <c:crosses val="autoZero"/>
        <c:auto val="1"/>
        <c:lblAlgn val="ctr"/>
        <c:lblOffset val="100"/>
        <c:noMultiLvlLbl val="0"/>
      </c:catAx>
      <c:valAx>
        <c:axId val="11562704"/>
        <c:scaling>
          <c:orientation val="minMax"/>
          <c:min val="6.0000000000000012E-2"/>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1858513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accent1"/>
                </a:solidFill>
                <a:latin typeface="Georgia" panose="02040502050405020303" pitchFamily="18" charset="0"/>
                <a:ea typeface="+mn-ea"/>
                <a:cs typeface="+mn-cs"/>
              </a:defRPr>
            </a:pPr>
            <a:r>
              <a:rPr lang="en-US" sz="1200" b="1">
                <a:solidFill>
                  <a:schemeClr val="accent1"/>
                </a:solidFill>
                <a:latin typeface="Georgia" panose="02040502050405020303" pitchFamily="18" charset="0"/>
              </a:rPr>
              <a:t>MSCI</a:t>
            </a:r>
            <a:r>
              <a:rPr lang="en-US" sz="1200" b="1" baseline="0">
                <a:solidFill>
                  <a:schemeClr val="accent1"/>
                </a:solidFill>
                <a:latin typeface="Georgia" panose="02040502050405020303" pitchFamily="18" charset="0"/>
              </a:rPr>
              <a:t> EM </a:t>
            </a:r>
            <a:r>
              <a:rPr lang="en-US" sz="1200" b="1">
                <a:solidFill>
                  <a:schemeClr val="accent1"/>
                </a:solidFill>
                <a:latin typeface="Georgia" panose="02040502050405020303" pitchFamily="18" charset="0"/>
              </a:rPr>
              <a:t>Cyclically-Adjusted</a:t>
            </a:r>
            <a:r>
              <a:rPr lang="en-US" sz="1200" b="1" baseline="0">
                <a:solidFill>
                  <a:schemeClr val="accent1"/>
                </a:solidFill>
                <a:latin typeface="Georgia" panose="02040502050405020303" pitchFamily="18" charset="0"/>
              </a:rPr>
              <a:t> Earnings Yield</a:t>
            </a:r>
            <a:endParaRPr lang="en-US" sz="1200" b="1">
              <a:solidFill>
                <a:schemeClr val="accent1"/>
              </a:solidFill>
              <a:latin typeface="Georgia" panose="02040502050405020303"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accent1"/>
              </a:solidFill>
              <a:latin typeface="Georgia" panose="02040502050405020303" pitchFamily="18" charset="0"/>
              <a:ea typeface="+mn-ea"/>
              <a:cs typeface="+mn-cs"/>
            </a:defRPr>
          </a:pPr>
          <a:endParaRPr lang="en-US"/>
        </a:p>
      </c:txPr>
    </c:title>
    <c:autoTitleDeleted val="0"/>
    <c:plotArea>
      <c:layout>
        <c:manualLayout>
          <c:layoutTarget val="inner"/>
          <c:xMode val="edge"/>
          <c:yMode val="edge"/>
          <c:x val="7.0255386287141189E-2"/>
          <c:y val="0.12219814485042231"/>
          <c:w val="0.90750554902074088"/>
          <c:h val="0.67546954450857133"/>
        </c:manualLayout>
      </c:layout>
      <c:lineChart>
        <c:grouping val="standard"/>
        <c:varyColors val="0"/>
        <c:ser>
          <c:idx val="0"/>
          <c:order val="0"/>
          <c:tx>
            <c:strRef>
              <c:f>'Earnings Yield Charts'!$D$2</c:f>
              <c:strCache>
                <c:ptCount val="1"/>
                <c:pt idx="0">
                  <c:v>Yield</c:v>
                </c:pt>
              </c:strCache>
            </c:strRef>
          </c:tx>
          <c:spPr>
            <a:ln w="28575" cap="rnd">
              <a:solidFill>
                <a:schemeClr val="accent1"/>
              </a:solidFill>
              <a:round/>
            </a:ln>
            <a:effectLst/>
          </c:spPr>
          <c:marker>
            <c:symbol val="none"/>
          </c:marker>
          <c:cat>
            <c:strRef>
              <c:f>'Earnings Yield Charts'!$C$66:$C$82</c:f>
              <c:strCache>
                <c:ptCount val="17"/>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 YTD</c:v>
                </c:pt>
              </c:strCache>
            </c:strRef>
          </c:cat>
          <c:val>
            <c:numRef>
              <c:f>'Earnings Yield Charts'!$D$66:$D$82</c:f>
              <c:numCache>
                <c:formatCode>0.0%</c:formatCode>
                <c:ptCount val="17"/>
                <c:pt idx="0">
                  <c:v>8.6892018598470733E-2</c:v>
                </c:pt>
                <c:pt idx="1">
                  <c:v>7.9954004007877222E-2</c:v>
                </c:pt>
                <c:pt idx="2">
                  <c:v>9.5974587955136581E-2</c:v>
                </c:pt>
                <c:pt idx="3">
                  <c:v>9.3764646371030658E-2</c:v>
                </c:pt>
                <c:pt idx="4">
                  <c:v>9.7397600074744961E-2</c:v>
                </c:pt>
                <c:pt idx="5">
                  <c:v>9.5385807847435222E-2</c:v>
                </c:pt>
                <c:pt idx="6">
                  <c:v>0.11036952667050559</c:v>
                </c:pt>
                <c:pt idx="7">
                  <c:v>0.10839455492193228</c:v>
                </c:pt>
                <c:pt idx="8">
                  <c:v>8.667944672396577E-2</c:v>
                </c:pt>
                <c:pt idx="9">
                  <c:v>9.859904247223561E-2</c:v>
                </c:pt>
                <c:pt idx="10">
                  <c:v>9.1475700309069596E-2</c:v>
                </c:pt>
                <c:pt idx="11">
                  <c:v>8.189100228867785E-2</c:v>
                </c:pt>
                <c:pt idx="12">
                  <c:v>9.4100259979413181E-2</c:v>
                </c:pt>
                <c:pt idx="13">
                  <c:v>0.1136579080374196</c:v>
                </c:pt>
                <c:pt idx="14">
                  <c:v>0.10521787525679249</c:v>
                </c:pt>
                <c:pt idx="15">
                  <c:v>0.10304692436626683</c:v>
                </c:pt>
                <c:pt idx="16">
                  <c:v>8.5329399637251058E-2</c:v>
                </c:pt>
              </c:numCache>
            </c:numRef>
          </c:val>
          <c:smooth val="0"/>
          <c:extLst>
            <c:ext xmlns:c16="http://schemas.microsoft.com/office/drawing/2014/chart" uri="{C3380CC4-5D6E-409C-BE32-E72D297353CC}">
              <c16:uniqueId val="{00000000-1CD0-411F-BF2B-52B17F285921}"/>
            </c:ext>
          </c:extLst>
        </c:ser>
        <c:dLbls>
          <c:showLegendKey val="0"/>
          <c:showVal val="0"/>
          <c:showCatName val="0"/>
          <c:showSerName val="0"/>
          <c:showPercent val="0"/>
          <c:showBubbleSize val="0"/>
        </c:dLbls>
        <c:smooth val="0"/>
        <c:axId val="1818585135"/>
        <c:axId val="11562704"/>
      </c:lineChart>
      <c:catAx>
        <c:axId val="1818585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562704"/>
        <c:crosses val="autoZero"/>
        <c:auto val="1"/>
        <c:lblAlgn val="ctr"/>
        <c:lblOffset val="100"/>
        <c:noMultiLvlLbl val="0"/>
      </c:catAx>
      <c:valAx>
        <c:axId val="11562704"/>
        <c:scaling>
          <c:orientation val="minMax"/>
          <c:min val="6.0000000000000012E-2"/>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1858513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0.91777</cdr:y>
    </cdr:from>
    <cdr:to>
      <cdr:x>0.9472</cdr:x>
      <cdr:y>1</cdr:y>
    </cdr:to>
    <cdr:sp macro="" textlink="">
      <cdr:nvSpPr>
        <cdr:cNvPr id="2" name="TextBox 1">
          <a:extLst xmlns:a="http://schemas.openxmlformats.org/drawingml/2006/main">
            <a:ext uri="{FF2B5EF4-FFF2-40B4-BE49-F238E27FC236}">
              <a16:creationId xmlns:a16="http://schemas.microsoft.com/office/drawing/2014/main" id="{F69F6DF8-6C1C-4B7F-E730-0F73BEBA67A5}"/>
            </a:ext>
          </a:extLst>
        </cdr:cNvPr>
        <cdr:cNvSpPr txBox="1"/>
      </cdr:nvSpPr>
      <cdr:spPr>
        <a:xfrm xmlns:a="http://schemas.openxmlformats.org/drawingml/2006/main">
          <a:off x="0" y="3208239"/>
          <a:ext cx="5950067" cy="2874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kern="1200">
              <a:latin typeface="Georgia" panose="02040502050405020303" pitchFamily="18" charset="0"/>
            </a:rPr>
            <a:t>Sources: FactSet,</a:t>
          </a:r>
          <a:r>
            <a:rPr lang="en-US" sz="800" kern="1200" baseline="0">
              <a:latin typeface="Georgia" panose="02040502050405020303" pitchFamily="18" charset="0"/>
            </a:rPr>
            <a:t> Standard &amp; Poor's, Fiducient Adviosrs calculations. As of October 31, 2025.</a:t>
          </a:r>
          <a:endParaRPr lang="en-US" sz="800" kern="1200">
            <a:latin typeface="Georgia" panose="02040502050405020303"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0.93259</cdr:y>
    </cdr:from>
    <cdr:to>
      <cdr:x>0.9472</cdr:x>
      <cdr:y>1</cdr:y>
    </cdr:to>
    <cdr:sp macro="" textlink="">
      <cdr:nvSpPr>
        <cdr:cNvPr id="2" name="TextBox 1">
          <a:extLst xmlns:a="http://schemas.openxmlformats.org/drawingml/2006/main">
            <a:ext uri="{FF2B5EF4-FFF2-40B4-BE49-F238E27FC236}">
              <a16:creationId xmlns:a16="http://schemas.microsoft.com/office/drawing/2014/main" id="{F69F6DF8-6C1C-4B7F-E730-0F73BEBA67A5}"/>
            </a:ext>
          </a:extLst>
        </cdr:cNvPr>
        <cdr:cNvSpPr txBox="1"/>
      </cdr:nvSpPr>
      <cdr:spPr>
        <a:xfrm xmlns:a="http://schemas.openxmlformats.org/drawingml/2006/main">
          <a:off x="0" y="3260035"/>
          <a:ext cx="5322426" cy="235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kern="1200">
              <a:latin typeface="Georgia" panose="02040502050405020303" pitchFamily="18" charset="0"/>
            </a:rPr>
            <a:t>Sources: FactSet,</a:t>
          </a:r>
          <a:r>
            <a:rPr lang="en-US" sz="800" kern="1200" baseline="0">
              <a:latin typeface="Georgia" panose="02040502050405020303" pitchFamily="18" charset="0"/>
            </a:rPr>
            <a:t> MSCI, Fiducient Adviosrs calculations. As of October 31, 2025.</a:t>
          </a:r>
          <a:endParaRPr lang="en-US" sz="800" kern="1200">
            <a:latin typeface="Georgia" panose="02040502050405020303"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0.91777</cdr:y>
    </cdr:from>
    <cdr:to>
      <cdr:x>0.9472</cdr:x>
      <cdr:y>1</cdr:y>
    </cdr:to>
    <cdr:sp macro="" textlink="">
      <cdr:nvSpPr>
        <cdr:cNvPr id="2" name="TextBox 1">
          <a:extLst xmlns:a="http://schemas.openxmlformats.org/drawingml/2006/main">
            <a:ext uri="{FF2B5EF4-FFF2-40B4-BE49-F238E27FC236}">
              <a16:creationId xmlns:a16="http://schemas.microsoft.com/office/drawing/2014/main" id="{F69F6DF8-6C1C-4B7F-E730-0F73BEBA67A5}"/>
            </a:ext>
          </a:extLst>
        </cdr:cNvPr>
        <cdr:cNvSpPr txBox="1"/>
      </cdr:nvSpPr>
      <cdr:spPr>
        <a:xfrm xmlns:a="http://schemas.openxmlformats.org/drawingml/2006/main">
          <a:off x="0" y="3208239"/>
          <a:ext cx="5950067" cy="2874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kern="1200">
              <a:latin typeface="Georgia" panose="02040502050405020303" pitchFamily="18" charset="0"/>
            </a:rPr>
            <a:t>Sources: FactSet,</a:t>
          </a:r>
          <a:r>
            <a:rPr lang="en-US" sz="800" kern="1200" baseline="0">
              <a:latin typeface="Georgia" panose="02040502050405020303" pitchFamily="18" charset="0"/>
            </a:rPr>
            <a:t> MSCI, Fiducient Adviosrs calculations. As of October 31, 2025.</a:t>
          </a:r>
          <a:endParaRPr lang="en-US" sz="800" kern="1200">
            <a:latin typeface="Georgia" panose="02040502050405020303"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Fiducient">
    <a:dk1>
      <a:sysClr val="windowText" lastClr="000000"/>
    </a:dk1>
    <a:lt1>
      <a:sysClr val="window" lastClr="FFFFFF"/>
    </a:lt1>
    <a:dk2>
      <a:srgbClr val="44546A"/>
    </a:dk2>
    <a:lt2>
      <a:srgbClr val="E7E6E6"/>
    </a:lt2>
    <a:accent1>
      <a:srgbClr val="002855"/>
    </a:accent1>
    <a:accent2>
      <a:srgbClr val="009CDE"/>
    </a:accent2>
    <a:accent3>
      <a:srgbClr val="4B4F54"/>
    </a:accent3>
    <a:accent4>
      <a:srgbClr val="A0DAB3"/>
    </a:accent4>
    <a:accent5>
      <a:srgbClr val="F1B434"/>
    </a:accent5>
    <a:accent6>
      <a:srgbClr val="582D40"/>
    </a:accent6>
    <a:hlink>
      <a:srgbClr val="009CDE"/>
    </a:hlink>
    <a:folHlink>
      <a:srgbClr val="954F7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Fiducient">
    <a:dk1>
      <a:sysClr val="windowText" lastClr="000000"/>
    </a:dk1>
    <a:lt1>
      <a:sysClr val="window" lastClr="FFFFFF"/>
    </a:lt1>
    <a:dk2>
      <a:srgbClr val="44546A"/>
    </a:dk2>
    <a:lt2>
      <a:srgbClr val="E7E6E6"/>
    </a:lt2>
    <a:accent1>
      <a:srgbClr val="002855"/>
    </a:accent1>
    <a:accent2>
      <a:srgbClr val="009CDE"/>
    </a:accent2>
    <a:accent3>
      <a:srgbClr val="4B4F54"/>
    </a:accent3>
    <a:accent4>
      <a:srgbClr val="A0DAB3"/>
    </a:accent4>
    <a:accent5>
      <a:srgbClr val="F1B434"/>
    </a:accent5>
    <a:accent6>
      <a:srgbClr val="582D40"/>
    </a:accent6>
    <a:hlink>
      <a:srgbClr val="009CDE"/>
    </a:hlink>
    <a:folHlink>
      <a:srgbClr val="954F7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Fiducient">
    <a:dk1>
      <a:sysClr val="windowText" lastClr="000000"/>
    </a:dk1>
    <a:lt1>
      <a:sysClr val="window" lastClr="FFFFFF"/>
    </a:lt1>
    <a:dk2>
      <a:srgbClr val="44546A"/>
    </a:dk2>
    <a:lt2>
      <a:srgbClr val="E7E6E6"/>
    </a:lt2>
    <a:accent1>
      <a:srgbClr val="002855"/>
    </a:accent1>
    <a:accent2>
      <a:srgbClr val="009CDE"/>
    </a:accent2>
    <a:accent3>
      <a:srgbClr val="4B4F54"/>
    </a:accent3>
    <a:accent4>
      <a:srgbClr val="A0DAB3"/>
    </a:accent4>
    <a:accent5>
      <a:srgbClr val="F1B434"/>
    </a:accent5>
    <a:accent6>
      <a:srgbClr val="582D40"/>
    </a:accent6>
    <a:hlink>
      <a:srgbClr val="009CDE"/>
    </a:hlink>
    <a:folHlink>
      <a:srgbClr val="954F7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0db8b42-dae1-4322-ac37-3987a49ce47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7A58443D6CB6E428ED5915A7CE651E8" ma:contentTypeVersion="17" ma:contentTypeDescription="Create a new document." ma:contentTypeScope="" ma:versionID="a1135f5fbbac634ed99fc01371c94492">
  <xsd:schema xmlns:xsd="http://www.w3.org/2001/XMLSchema" xmlns:xs="http://www.w3.org/2001/XMLSchema" xmlns:p="http://schemas.microsoft.com/office/2006/metadata/properties" xmlns:ns2="00db8b42-dae1-4322-ac37-3987a49ce476" xmlns:ns3="28a6b137-87c1-48cb-83c1-664d40928a18" targetNamespace="http://schemas.microsoft.com/office/2006/metadata/properties" ma:root="true" ma:fieldsID="527c30e7590855d96b739883eac84fa3" ns2:_="" ns3:_="">
    <xsd:import namespace="00db8b42-dae1-4322-ac37-3987a49ce476"/>
    <xsd:import namespace="28a6b137-87c1-48cb-83c1-664d40928a1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lcf76f155ced4ddcb4097134ff3c332f"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b8b42-dae1-4322-ac37-3987a49ce4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16fa849-9aee-4305-8228-d5ef1c313dd4"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a6b137-87c1-48cb-83c1-664d40928a18"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C944B6-D13D-4300-964F-BE50056465D2}">
  <ds:schemaRefs>
    <ds:schemaRef ds:uri="http://schemas.microsoft.com/office/2006/metadata/properties"/>
    <ds:schemaRef ds:uri="http://schemas.microsoft.com/office/infopath/2007/PartnerControls"/>
    <ds:schemaRef ds:uri="e6af6a49-2a3b-445d-9bb2-a137a4c69def"/>
    <ds:schemaRef ds:uri="4629ae6e-da30-4b5d-aef4-12a44f6d01bc"/>
  </ds:schemaRefs>
</ds:datastoreItem>
</file>

<file path=customXml/itemProps2.xml><?xml version="1.0" encoding="utf-8"?>
<ds:datastoreItem xmlns:ds="http://schemas.openxmlformats.org/officeDocument/2006/customXml" ds:itemID="{47BD9CF1-CF42-46B7-9FF6-1DC678A8BCA4}">
  <ds:schemaRefs>
    <ds:schemaRef ds:uri="http://schemas.openxmlformats.org/officeDocument/2006/bibliography"/>
  </ds:schemaRefs>
</ds:datastoreItem>
</file>

<file path=customXml/itemProps3.xml><?xml version="1.0" encoding="utf-8"?>
<ds:datastoreItem xmlns:ds="http://schemas.openxmlformats.org/officeDocument/2006/customXml" ds:itemID="{AE1C7294-770A-47BA-AE75-39658BE69821}"/>
</file>

<file path=customXml/itemProps4.xml><?xml version="1.0" encoding="utf-8"?>
<ds:datastoreItem xmlns:ds="http://schemas.openxmlformats.org/officeDocument/2006/customXml" ds:itemID="{ADA3E22D-8FBC-4743-85F8-7D7340E3588E}">
  <ds:schemaRefs>
    <ds:schemaRef ds:uri="http://schemas.microsoft.com/sharepoint/v3/contenttype/forms"/>
  </ds:schemaRefs>
</ds:datastoreItem>
</file>

<file path=docMetadata/LabelInfo.xml><?xml version="1.0" encoding="utf-8"?>
<clbl:labelList xmlns:clbl="http://schemas.microsoft.com/office/2020/mipLabelMetadata">
  <clbl:label id="{e6f978e1-75d4-4db0-904e-5b79fb778570}" enabled="0" method="" siteId="{e6f978e1-75d4-4db0-904e-5b79fb778570}" removed="1"/>
</clbl:labelList>
</file>

<file path=docProps/app.xml><?xml version="1.0" encoding="utf-8"?>
<Properties xmlns="http://schemas.openxmlformats.org/officeDocument/2006/extended-properties" xmlns:vt="http://schemas.openxmlformats.org/officeDocument/2006/docPropsVTypes">
  <Template>Normal</Template>
  <TotalTime>4</TotalTime>
  <Pages>33</Pages>
  <Words>7758</Words>
  <Characters>44227</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Woertz</dc:creator>
  <cp:keywords/>
  <dc:description/>
  <cp:lastModifiedBy>Denisse Merlos</cp:lastModifiedBy>
  <cp:revision>7</cp:revision>
  <cp:lastPrinted>2026-02-06T19:59:00Z</cp:lastPrinted>
  <dcterms:created xsi:type="dcterms:W3CDTF">2026-02-06T21:21:00Z</dcterms:created>
  <dcterms:modified xsi:type="dcterms:W3CDTF">2026-02-06T21:24:00Z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0x010100C7A58443D6CB6E428ED5915A7CE651E8</vt:lpwstr>
  </property>
  <property fmtid="{D5CDD505-2E9C-101B-9397-08002B2CF9AE}" pid="3" name="Order">
    <vt:r8>71600</vt:r8>
  </property>
  <property fmtid="{D5CDD505-2E9C-101B-9397-08002B2CF9AE}" pid="4" name="MediaServiceImageTags">
    <vt:lpwstr/>
  </property>
  <property fmtid="{D5CDD505-2E9C-101B-9397-08002B2CF9AE}" pid="5" name="docLang">
    <vt:lpwstr>en</vt:lpwstr>
  </property>
</Properties>
</file>